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360" w:lineRule="auto"/>
        <w:jc w:val="center"/>
        <w:rPr>
          <w:rFonts w:ascii="宋体"/>
          <w:b/>
          <w:bCs/>
          <w:spacing w:val="6"/>
          <w:sz w:val="44"/>
          <w:szCs w:val="44"/>
        </w:rPr>
      </w:pPr>
    </w:p>
    <w:p>
      <w:pPr>
        <w:spacing w:line="360" w:lineRule="auto"/>
        <w:jc w:val="center"/>
        <w:rPr>
          <w:rFonts w:ascii="黑体" w:hAnsi="黑体" w:eastAsia="黑体"/>
          <w:emboss/>
          <w:color w:val="000000"/>
          <w:spacing w:val="28"/>
          <w:sz w:val="44"/>
          <w:szCs w:val="44"/>
        </w:rPr>
      </w:pPr>
      <w:r>
        <w:rPr>
          <w:rFonts w:hint="eastAsia" w:ascii="黑体" w:hAnsi="黑体" w:eastAsia="黑体"/>
          <w:bCs/>
          <w:emboss/>
          <w:sz w:val="44"/>
          <w:szCs w:val="44"/>
        </w:rPr>
        <w:t>黄冈碧桂园万达钻孔桩桩基础工程</w:t>
      </w:r>
    </w:p>
    <w:p>
      <w:pPr>
        <w:spacing w:line="360" w:lineRule="auto"/>
        <w:jc w:val="center"/>
        <w:rPr>
          <w:rFonts w:ascii="黑体" w:hAnsi="宋体" w:eastAsia="黑体"/>
          <w:b/>
          <w:emboss/>
          <w:color w:val="000000"/>
          <w:spacing w:val="28"/>
          <w:sz w:val="32"/>
          <w:szCs w:val="32"/>
        </w:rPr>
      </w:pPr>
    </w:p>
    <w:p>
      <w:pPr>
        <w:spacing w:line="360" w:lineRule="auto"/>
        <w:jc w:val="center"/>
        <w:rPr>
          <w:rFonts w:ascii="黑体" w:hAnsi="宋体" w:eastAsia="黑体"/>
          <w:b/>
          <w:emboss/>
          <w:color w:val="000000"/>
          <w:spacing w:val="28"/>
          <w:sz w:val="32"/>
          <w:szCs w:val="32"/>
        </w:rPr>
      </w:pPr>
    </w:p>
    <w:p>
      <w:pPr>
        <w:spacing w:line="360" w:lineRule="auto"/>
        <w:jc w:val="center"/>
        <w:rPr>
          <w:rFonts w:ascii="黑体" w:hAnsi="宋体" w:eastAsia="黑体"/>
          <w:b/>
          <w:emboss/>
          <w:color w:val="000000"/>
          <w:spacing w:val="28"/>
          <w:sz w:val="32"/>
          <w:szCs w:val="32"/>
        </w:rPr>
      </w:pPr>
    </w:p>
    <w:p>
      <w:pPr>
        <w:spacing w:line="360" w:lineRule="auto"/>
        <w:jc w:val="center"/>
        <w:rPr>
          <w:rFonts w:ascii="黑体" w:hAnsi="宋体" w:eastAsia="黑体"/>
          <w:b/>
          <w:emboss/>
          <w:color w:val="000000"/>
          <w:spacing w:val="28"/>
          <w:sz w:val="32"/>
          <w:szCs w:val="32"/>
        </w:rPr>
      </w:pPr>
    </w:p>
    <w:p>
      <w:pPr>
        <w:spacing w:line="360" w:lineRule="auto"/>
        <w:jc w:val="center"/>
        <w:rPr>
          <w:rFonts w:ascii="黑体" w:hAnsi="宋体" w:eastAsia="黑体"/>
          <w:b/>
          <w:emboss/>
          <w:color w:val="000000"/>
          <w:spacing w:val="28"/>
          <w:sz w:val="32"/>
          <w:szCs w:val="32"/>
        </w:rPr>
      </w:pPr>
    </w:p>
    <w:p>
      <w:pPr>
        <w:spacing w:line="360" w:lineRule="auto"/>
        <w:jc w:val="center"/>
        <w:rPr>
          <w:rFonts w:ascii="黑体" w:hAnsi="宋体" w:eastAsia="黑体"/>
          <w:b/>
          <w:emboss/>
          <w:color w:val="000000"/>
          <w:spacing w:val="28"/>
          <w:sz w:val="32"/>
          <w:szCs w:val="32"/>
        </w:rPr>
      </w:pPr>
    </w:p>
    <w:p>
      <w:pPr>
        <w:spacing w:line="360" w:lineRule="auto"/>
        <w:jc w:val="center"/>
        <w:rPr>
          <w:rFonts w:ascii="黑体" w:hAnsi="宋体" w:eastAsia="黑体"/>
          <w:b/>
          <w:emboss/>
          <w:color w:val="000000"/>
          <w:spacing w:val="28"/>
          <w:sz w:val="32"/>
          <w:szCs w:val="32"/>
        </w:rPr>
      </w:pPr>
    </w:p>
    <w:p>
      <w:pPr>
        <w:spacing w:line="360" w:lineRule="auto"/>
        <w:jc w:val="center"/>
        <w:rPr>
          <w:rFonts w:ascii="黑体" w:hAnsi="宋体" w:eastAsia="黑体"/>
          <w:b/>
          <w:emboss/>
          <w:color w:val="000000"/>
          <w:spacing w:val="28"/>
          <w:sz w:val="32"/>
          <w:szCs w:val="32"/>
        </w:rPr>
      </w:pPr>
    </w:p>
    <w:p>
      <w:pPr>
        <w:spacing w:line="360" w:lineRule="auto"/>
        <w:jc w:val="center"/>
        <w:rPr>
          <w:rFonts w:ascii="黑体" w:hAnsi="宋体" w:eastAsia="黑体"/>
          <w:b/>
          <w:emboss/>
          <w:color w:val="000000"/>
          <w:spacing w:val="28"/>
          <w:sz w:val="32"/>
          <w:szCs w:val="32"/>
        </w:rPr>
      </w:pPr>
    </w:p>
    <w:p>
      <w:pPr>
        <w:snapToGrid w:val="0"/>
        <w:spacing w:beforeLines="100" w:line="360" w:lineRule="auto"/>
        <w:ind w:firstLine="2731" w:firstLineChars="850"/>
        <w:rPr>
          <w:rFonts w:ascii="楷体_GB2312" w:eastAsia="楷体_GB2312"/>
          <w:b/>
          <w:sz w:val="32"/>
          <w:szCs w:val="32"/>
          <w:u w:val="single"/>
        </w:rPr>
      </w:pPr>
      <w:r>
        <w:rPr>
          <w:rFonts w:hint="eastAsia" w:ascii="楷体_GB2312" w:eastAsia="楷体_GB2312"/>
          <w:b/>
          <w:sz w:val="32"/>
          <w:szCs w:val="32"/>
        </w:rPr>
        <w:t>编制人：</w:t>
      </w:r>
      <w:r>
        <w:rPr>
          <w:rFonts w:ascii="楷体_GB2312" w:eastAsia="楷体_GB2312"/>
          <w:b/>
          <w:sz w:val="32"/>
          <w:szCs w:val="32"/>
          <w:u w:val="single"/>
        </w:rPr>
        <w:t xml:space="preserve">                 </w:t>
      </w:r>
    </w:p>
    <w:p>
      <w:pPr>
        <w:snapToGrid w:val="0"/>
        <w:spacing w:beforeLines="100" w:line="360" w:lineRule="auto"/>
        <w:ind w:firstLine="2731" w:firstLineChars="850"/>
        <w:rPr>
          <w:rFonts w:ascii="楷体_GB2312" w:eastAsia="楷体_GB2312"/>
          <w:b/>
          <w:sz w:val="32"/>
          <w:szCs w:val="32"/>
          <w:u w:val="single"/>
        </w:rPr>
      </w:pPr>
      <w:r>
        <w:rPr>
          <w:rFonts w:hint="eastAsia" w:ascii="楷体_GB2312" w:eastAsia="楷体_GB2312"/>
          <w:b/>
          <w:sz w:val="32"/>
          <w:szCs w:val="32"/>
        </w:rPr>
        <w:t>复核人：</w:t>
      </w:r>
      <w:r>
        <w:rPr>
          <w:rFonts w:ascii="楷体_GB2312" w:eastAsia="楷体_GB2312"/>
          <w:b/>
          <w:sz w:val="32"/>
          <w:szCs w:val="32"/>
          <w:u w:val="single"/>
        </w:rPr>
        <w:t xml:space="preserve">                 </w:t>
      </w:r>
    </w:p>
    <w:p>
      <w:pPr>
        <w:snapToGrid w:val="0"/>
        <w:spacing w:beforeLines="100" w:line="360" w:lineRule="auto"/>
        <w:ind w:firstLine="2731" w:firstLineChars="850"/>
        <w:rPr>
          <w:rFonts w:ascii="楷体_GB2312" w:eastAsia="楷体_GB2312"/>
          <w:b/>
          <w:sz w:val="32"/>
          <w:szCs w:val="32"/>
          <w:u w:val="single"/>
        </w:rPr>
      </w:pPr>
      <w:r>
        <w:rPr>
          <w:rFonts w:hint="eastAsia" w:ascii="楷体_GB2312" w:eastAsia="楷体_GB2312"/>
          <w:b/>
          <w:sz w:val="32"/>
          <w:szCs w:val="32"/>
        </w:rPr>
        <w:t>批准人：</w:t>
      </w:r>
      <w:r>
        <w:rPr>
          <w:rFonts w:ascii="楷体_GB2312" w:eastAsia="楷体_GB2312"/>
          <w:b/>
          <w:sz w:val="32"/>
          <w:szCs w:val="32"/>
          <w:u w:val="single"/>
        </w:rPr>
        <w:t xml:space="preserve">                 </w:t>
      </w:r>
    </w:p>
    <w:p>
      <w:pPr>
        <w:spacing w:line="360" w:lineRule="auto"/>
        <w:jc w:val="center"/>
      </w:pPr>
    </w:p>
    <w:p>
      <w:pPr>
        <w:spacing w:line="360" w:lineRule="auto"/>
        <w:jc w:val="center"/>
      </w:pPr>
    </w:p>
    <w:p>
      <w:pPr>
        <w:spacing w:line="360" w:lineRule="auto"/>
        <w:jc w:val="center"/>
      </w:pPr>
    </w:p>
    <w:p>
      <w:pPr>
        <w:spacing w:line="360" w:lineRule="auto"/>
        <w:jc w:val="center"/>
      </w:pPr>
    </w:p>
    <w:p>
      <w:pPr>
        <w:spacing w:line="360" w:lineRule="auto"/>
      </w:pPr>
    </w:p>
    <w:p>
      <w:pPr>
        <w:snapToGrid w:val="0"/>
        <w:spacing w:line="360" w:lineRule="auto"/>
        <w:jc w:val="center"/>
        <w:rPr>
          <w:rFonts w:ascii="黑体" w:hAnsi="宋体" w:eastAsia="黑体"/>
          <w:b/>
          <w:sz w:val="32"/>
          <w:szCs w:val="32"/>
        </w:rPr>
      </w:pPr>
      <w:r>
        <w:rPr>
          <w:rFonts w:hint="eastAsia" w:ascii="黑体" w:hAnsi="宋体" w:eastAsia="黑体"/>
          <w:b/>
          <w:sz w:val="32"/>
          <w:szCs w:val="32"/>
        </w:rPr>
        <w:t>哈尔滨</w:t>
      </w:r>
      <w:r>
        <w:rPr>
          <w:rFonts w:hint="eastAsia" w:ascii="黑体" w:hAnsi="宋体" w:eastAsia="黑体"/>
          <w:b/>
          <w:sz w:val="32"/>
          <w:szCs w:val="32"/>
          <w:lang w:eastAsia="zh-CN"/>
        </w:rPr>
        <w:t>中基</w:t>
      </w:r>
      <w:r>
        <w:rPr>
          <w:rFonts w:hint="eastAsia" w:ascii="黑体" w:hAnsi="宋体" w:eastAsia="黑体"/>
          <w:b/>
          <w:sz w:val="32"/>
          <w:szCs w:val="32"/>
        </w:rPr>
        <w:t>君豪</w:t>
      </w:r>
      <w:r>
        <w:rPr>
          <w:rFonts w:hint="eastAsia" w:ascii="黑体" w:hAnsi="宋体" w:eastAsia="黑体"/>
          <w:b/>
          <w:sz w:val="32"/>
          <w:szCs w:val="32"/>
          <w:lang w:eastAsia="zh-CN"/>
        </w:rPr>
        <w:t>股份</w:t>
      </w:r>
      <w:r>
        <w:rPr>
          <w:rFonts w:hint="eastAsia" w:ascii="黑体" w:hAnsi="宋体" w:eastAsia="黑体"/>
          <w:b/>
          <w:sz w:val="32"/>
          <w:szCs w:val="32"/>
        </w:rPr>
        <w:t>有限公司</w:t>
      </w:r>
      <w:r>
        <w:rPr>
          <w:rFonts w:hint="eastAsia" w:ascii="黑体" w:hAnsi="宋体" w:eastAsia="黑体"/>
          <w:b/>
          <w:sz w:val="32"/>
          <w:szCs w:val="32"/>
          <w:lang w:eastAsia="zh-CN"/>
        </w:rPr>
        <w:t>黄州万达</w:t>
      </w:r>
      <w:r>
        <w:rPr>
          <w:rFonts w:hint="eastAsia" w:ascii="黑体" w:hAnsi="宋体" w:eastAsia="黑体"/>
          <w:b/>
          <w:sz w:val="32"/>
          <w:szCs w:val="32"/>
        </w:rPr>
        <w:t>项目部</w:t>
      </w:r>
    </w:p>
    <w:p>
      <w:pPr>
        <w:spacing w:line="360" w:lineRule="auto"/>
        <w:jc w:val="center"/>
        <w:rPr>
          <w:rFonts w:ascii="黑体" w:hAnsi="宋体" w:eastAsia="黑体"/>
          <w:b/>
          <w:snapToGrid w:val="0"/>
          <w:kern w:val="0"/>
          <w:sz w:val="32"/>
          <w:szCs w:val="32"/>
        </w:rPr>
      </w:pPr>
      <w:r>
        <w:rPr>
          <w:rFonts w:hint="eastAsia" w:ascii="黑体" w:hAnsi="宋体" w:eastAsia="黑体"/>
          <w:b/>
          <w:snapToGrid w:val="0"/>
          <w:kern w:val="0"/>
          <w:sz w:val="32"/>
          <w:szCs w:val="32"/>
        </w:rPr>
        <w:t>二〇一</w:t>
      </w:r>
      <w:r>
        <w:rPr>
          <w:rFonts w:hint="eastAsia" w:ascii="黑体" w:hAnsi="宋体" w:eastAsia="黑体"/>
          <w:b/>
          <w:snapToGrid w:val="0"/>
          <w:kern w:val="0"/>
          <w:sz w:val="32"/>
          <w:szCs w:val="32"/>
          <w:lang w:eastAsia="zh-CN"/>
        </w:rPr>
        <w:t>六</w:t>
      </w:r>
      <w:r>
        <w:rPr>
          <w:rFonts w:hint="eastAsia" w:ascii="黑体" w:hAnsi="宋体" w:eastAsia="黑体"/>
          <w:b/>
          <w:snapToGrid w:val="0"/>
          <w:kern w:val="0"/>
          <w:sz w:val="32"/>
          <w:szCs w:val="32"/>
        </w:rPr>
        <w:t>年</w:t>
      </w:r>
      <w:r>
        <w:rPr>
          <w:rFonts w:hint="eastAsia" w:ascii="黑体" w:hAnsi="宋体" w:eastAsia="黑体"/>
          <w:b/>
          <w:snapToGrid w:val="0"/>
          <w:kern w:val="0"/>
          <w:sz w:val="32"/>
          <w:szCs w:val="32"/>
          <w:lang w:eastAsia="zh-CN"/>
        </w:rPr>
        <w:t>十</w:t>
      </w:r>
      <w:r>
        <w:rPr>
          <w:rFonts w:hint="eastAsia" w:ascii="黑体" w:hAnsi="宋体" w:eastAsia="黑体"/>
          <w:b/>
          <w:snapToGrid w:val="0"/>
          <w:kern w:val="0"/>
          <w:sz w:val="32"/>
          <w:szCs w:val="32"/>
        </w:rPr>
        <w:t>月</w:t>
      </w:r>
    </w:p>
    <w:p>
      <w:pPr>
        <w:spacing w:line="360" w:lineRule="auto"/>
        <w:jc w:val="center"/>
        <w:rPr>
          <w:rFonts w:ascii="宋体"/>
          <w:b/>
          <w:bCs/>
          <w:sz w:val="32"/>
        </w:rPr>
        <w:sectPr>
          <w:headerReference r:id="rId3" w:type="default"/>
          <w:footerReference r:id="rId4" w:type="default"/>
          <w:footerReference r:id="rId5" w:type="even"/>
          <w:pgSz w:w="11906" w:h="16838"/>
          <w:pgMar w:top="1440" w:right="1304" w:bottom="1440" w:left="1588" w:header="851" w:footer="992" w:gutter="0"/>
          <w:pgNumType w:start="1"/>
          <w:cols w:space="720" w:num="1"/>
          <w:titlePg/>
          <w:docGrid w:type="lines" w:linePitch="312" w:charSpace="0"/>
        </w:sectPr>
      </w:pPr>
    </w:p>
    <w:p>
      <w:pPr>
        <w:pStyle w:val="24"/>
        <w:tabs>
          <w:tab w:val="right" w:leader="dot" w:pos="8777"/>
        </w:tabs>
        <w:jc w:val="center"/>
        <w:rPr>
          <w:rFonts w:ascii="宋体"/>
          <w:b/>
          <w:bCs/>
          <w:sz w:val="32"/>
          <w:szCs w:val="32"/>
        </w:rPr>
      </w:pPr>
      <w:r>
        <w:rPr>
          <w:rFonts w:hint="eastAsia" w:ascii="宋体" w:hAnsi="宋体"/>
          <w:b/>
          <w:bCs/>
          <w:sz w:val="32"/>
          <w:szCs w:val="32"/>
        </w:rPr>
        <w:t>目录</w:t>
      </w:r>
    </w:p>
    <w:p>
      <w:pPr>
        <w:pStyle w:val="24"/>
        <w:tabs>
          <w:tab w:val="right" w:leader="dot" w:pos="8777"/>
        </w:tabs>
        <w:rPr>
          <w:rFonts w:ascii="Calibri" w:hAnsi="Calibri" w:cs="黑体"/>
          <w:szCs w:val="22"/>
        </w:rPr>
      </w:pPr>
      <w:r>
        <w:rPr>
          <w:rFonts w:ascii="宋体" w:hAnsi="宋体"/>
          <w:bCs/>
          <w:sz w:val="24"/>
        </w:rPr>
        <w:fldChar w:fldCharType="begin"/>
      </w:r>
      <w:r>
        <w:rPr>
          <w:rFonts w:ascii="宋体" w:hAnsi="宋体"/>
          <w:bCs/>
          <w:sz w:val="24"/>
        </w:rPr>
        <w:instrText xml:space="preserve"> TOC \o "1-3" \h \z \u </w:instrText>
      </w:r>
      <w:r>
        <w:rPr>
          <w:rFonts w:ascii="宋体" w:hAnsi="宋体"/>
          <w:bCs/>
          <w:sz w:val="24"/>
        </w:rPr>
        <w:fldChar w:fldCharType="separate"/>
      </w:r>
      <w:r>
        <w:fldChar w:fldCharType="begin"/>
      </w:r>
      <w:r>
        <w:instrText xml:space="preserve"> HYPERLINK \l "_Toc353351850" </w:instrText>
      </w:r>
      <w:r>
        <w:fldChar w:fldCharType="separate"/>
      </w:r>
      <w:r>
        <w:rPr>
          <w:rStyle w:val="27"/>
          <w:rFonts w:hint="eastAsia" w:ascii="宋体" w:hAnsi="宋体" w:cs="宋体"/>
          <w:b/>
        </w:rPr>
        <w:t>第一章</w:t>
      </w:r>
      <w:r>
        <w:rPr>
          <w:rStyle w:val="27"/>
          <w:rFonts w:ascii="宋体" w:hAnsi="宋体" w:cs="宋体"/>
          <w:b/>
        </w:rPr>
        <w:t xml:space="preserve">  </w:t>
      </w:r>
      <w:r>
        <w:rPr>
          <w:rStyle w:val="27"/>
          <w:rFonts w:hint="eastAsia" w:ascii="宋体" w:hAnsi="宋体" w:cs="宋体"/>
          <w:b/>
        </w:rPr>
        <w:t>概</w:t>
      </w:r>
      <w:r>
        <w:rPr>
          <w:rStyle w:val="27"/>
          <w:rFonts w:ascii="宋体" w:hAnsi="宋体" w:cs="宋体"/>
          <w:b/>
        </w:rPr>
        <w:t xml:space="preserve">  </w:t>
      </w:r>
      <w:r>
        <w:rPr>
          <w:rStyle w:val="27"/>
          <w:rFonts w:hint="eastAsia" w:ascii="宋体" w:hAnsi="宋体" w:cs="宋体"/>
          <w:b/>
        </w:rPr>
        <w:t>述</w:t>
      </w:r>
      <w:r>
        <w:tab/>
      </w:r>
      <w:r>
        <w:fldChar w:fldCharType="begin"/>
      </w:r>
      <w:r>
        <w:instrText xml:space="preserve"> PAGEREF _Toc353351850 \h </w:instrText>
      </w:r>
      <w:r>
        <w:fldChar w:fldCharType="separate"/>
      </w:r>
      <w:r>
        <w:t>2</w:t>
      </w:r>
      <w:r>
        <w:fldChar w:fldCharType="end"/>
      </w:r>
      <w:r>
        <w:fldChar w:fldCharType="end"/>
      </w:r>
    </w:p>
    <w:p>
      <w:pPr>
        <w:pStyle w:val="24"/>
        <w:tabs>
          <w:tab w:val="right" w:leader="dot" w:pos="8777"/>
        </w:tabs>
        <w:rPr>
          <w:rFonts w:ascii="Calibri" w:hAnsi="Calibri" w:cs="黑体"/>
          <w:szCs w:val="22"/>
        </w:rPr>
      </w:pPr>
      <w:r>
        <w:fldChar w:fldCharType="begin"/>
      </w:r>
      <w:r>
        <w:instrText xml:space="preserve"> HYPERLINK \l "_Toc353351851" </w:instrText>
      </w:r>
      <w:r>
        <w:fldChar w:fldCharType="separate"/>
      </w:r>
      <w:r>
        <w:rPr>
          <w:rStyle w:val="27"/>
          <w:rFonts w:ascii="宋体" w:hAnsi="宋体"/>
          <w:b/>
        </w:rPr>
        <w:t>1.1</w:t>
      </w:r>
      <w:r>
        <w:rPr>
          <w:rStyle w:val="27"/>
          <w:rFonts w:hint="eastAsia" w:ascii="宋体" w:hAnsi="宋体"/>
          <w:b/>
        </w:rPr>
        <w:t>工程概况</w:t>
      </w:r>
      <w:r>
        <w:tab/>
      </w:r>
      <w:r>
        <w:fldChar w:fldCharType="begin"/>
      </w:r>
      <w:r>
        <w:instrText xml:space="preserve"> PAGEREF _Toc353351851 \h </w:instrText>
      </w:r>
      <w:r>
        <w:fldChar w:fldCharType="separate"/>
      </w:r>
      <w:r>
        <w:t>2</w:t>
      </w:r>
      <w:r>
        <w:fldChar w:fldCharType="end"/>
      </w:r>
      <w:r>
        <w:fldChar w:fldCharType="end"/>
      </w:r>
    </w:p>
    <w:p>
      <w:pPr>
        <w:pStyle w:val="24"/>
        <w:tabs>
          <w:tab w:val="right" w:leader="dot" w:pos="8777"/>
        </w:tabs>
        <w:rPr>
          <w:rFonts w:ascii="Calibri" w:hAnsi="Calibri" w:cs="黑体"/>
          <w:szCs w:val="22"/>
        </w:rPr>
      </w:pPr>
      <w:r>
        <w:fldChar w:fldCharType="begin"/>
      </w:r>
      <w:r>
        <w:instrText xml:space="preserve"> HYPERLINK \l "_Toc353351852" </w:instrText>
      </w:r>
      <w:r>
        <w:fldChar w:fldCharType="separate"/>
      </w:r>
      <w:r>
        <w:rPr>
          <w:rStyle w:val="27"/>
          <w:rFonts w:ascii="宋体" w:hAnsi="宋体"/>
          <w:b/>
        </w:rPr>
        <w:t>1.2</w:t>
      </w:r>
      <w:r>
        <w:rPr>
          <w:rStyle w:val="27"/>
          <w:rFonts w:hint="eastAsia" w:ascii="宋体" w:hAnsi="宋体"/>
          <w:b/>
        </w:rPr>
        <w:t>地质水文情况</w:t>
      </w:r>
      <w:r>
        <w:tab/>
      </w:r>
      <w:r>
        <w:t>1</w:t>
      </w:r>
      <w:r>
        <w:fldChar w:fldCharType="end"/>
      </w:r>
    </w:p>
    <w:p>
      <w:pPr>
        <w:pStyle w:val="15"/>
        <w:tabs>
          <w:tab w:val="right" w:leader="dot" w:pos="8777"/>
        </w:tabs>
        <w:rPr>
          <w:rFonts w:ascii="Calibri" w:hAnsi="Calibri" w:cs="黑体"/>
          <w:szCs w:val="22"/>
        </w:rPr>
      </w:pPr>
      <w:r>
        <w:fldChar w:fldCharType="begin"/>
      </w:r>
      <w:r>
        <w:instrText xml:space="preserve"> HYPERLINK \l "_Toc353351853" </w:instrText>
      </w:r>
      <w:r>
        <w:fldChar w:fldCharType="separate"/>
      </w:r>
      <w:r>
        <w:rPr>
          <w:rStyle w:val="27"/>
          <w:rFonts w:ascii="宋体" w:hAnsi="宋体"/>
          <w:b/>
        </w:rPr>
        <w:t>1.2.1</w:t>
      </w:r>
      <w:r>
        <w:rPr>
          <w:rStyle w:val="27"/>
          <w:rFonts w:hint="eastAsia"/>
          <w:b/>
          <w:bCs/>
        </w:rPr>
        <w:t>地层结构及空间展布</w:t>
      </w:r>
      <w:r>
        <w:tab/>
      </w:r>
      <w:r>
        <w:t>1</w:t>
      </w:r>
      <w:r>
        <w:fldChar w:fldCharType="end"/>
      </w:r>
    </w:p>
    <w:p>
      <w:pPr>
        <w:pStyle w:val="15"/>
        <w:tabs>
          <w:tab w:val="right" w:leader="dot" w:pos="8777"/>
        </w:tabs>
        <w:rPr>
          <w:rFonts w:ascii="Calibri" w:hAnsi="Calibri" w:cs="黑体"/>
          <w:szCs w:val="22"/>
        </w:rPr>
      </w:pPr>
      <w:r>
        <w:fldChar w:fldCharType="begin"/>
      </w:r>
      <w:r>
        <w:instrText xml:space="preserve"> HYPERLINK \l "_Toc353351854" </w:instrText>
      </w:r>
      <w:r>
        <w:fldChar w:fldCharType="separate"/>
      </w:r>
      <w:r>
        <w:rPr>
          <w:rStyle w:val="27"/>
          <w:rFonts w:ascii="宋体" w:hAnsi="宋体"/>
          <w:b/>
        </w:rPr>
        <w:t>1.2.2</w:t>
      </w:r>
      <w:r>
        <w:rPr>
          <w:rStyle w:val="27"/>
          <w:rFonts w:hint="eastAsia" w:ascii="宋体" w:hAnsi="宋体"/>
          <w:b/>
        </w:rPr>
        <w:t>场地特殊岩土及不良地质现象</w:t>
      </w:r>
      <w:r>
        <w:tab/>
      </w:r>
      <w:r>
        <w:t>2</w:t>
      </w:r>
      <w:r>
        <w:fldChar w:fldCharType="end"/>
      </w:r>
    </w:p>
    <w:p>
      <w:pPr>
        <w:pStyle w:val="15"/>
        <w:tabs>
          <w:tab w:val="right" w:leader="dot" w:pos="8777"/>
        </w:tabs>
        <w:rPr>
          <w:rFonts w:ascii="Calibri" w:hAnsi="Calibri" w:cs="黑体"/>
          <w:szCs w:val="22"/>
        </w:rPr>
      </w:pPr>
      <w:r>
        <w:fldChar w:fldCharType="begin"/>
      </w:r>
      <w:r>
        <w:instrText xml:space="preserve"> HYPERLINK \l "_Toc353351855" </w:instrText>
      </w:r>
      <w:r>
        <w:fldChar w:fldCharType="separate"/>
      </w:r>
      <w:r>
        <w:rPr>
          <w:rStyle w:val="27"/>
          <w:rFonts w:ascii="宋体" w:hAnsi="宋体"/>
          <w:b/>
        </w:rPr>
        <w:t xml:space="preserve">1.2.2 </w:t>
      </w:r>
      <w:r>
        <w:rPr>
          <w:rStyle w:val="27"/>
          <w:rFonts w:hint="eastAsia" w:ascii="宋体" w:hAnsi="宋体"/>
          <w:b/>
        </w:rPr>
        <w:t>气象特征</w:t>
      </w:r>
      <w:r>
        <w:tab/>
      </w:r>
      <w:r>
        <w:t>3</w:t>
      </w:r>
      <w:r>
        <w:fldChar w:fldCharType="end"/>
      </w:r>
    </w:p>
    <w:p>
      <w:pPr>
        <w:pStyle w:val="24"/>
        <w:tabs>
          <w:tab w:val="right" w:leader="dot" w:pos="8777"/>
        </w:tabs>
        <w:rPr>
          <w:rFonts w:ascii="Calibri" w:hAnsi="Calibri" w:cs="黑体"/>
          <w:szCs w:val="22"/>
        </w:rPr>
      </w:pPr>
      <w:r>
        <w:fldChar w:fldCharType="begin"/>
      </w:r>
      <w:r>
        <w:instrText xml:space="preserve"> HYPERLINK \l "_Toc353351856" </w:instrText>
      </w:r>
      <w:r>
        <w:fldChar w:fldCharType="separate"/>
      </w:r>
      <w:r>
        <w:rPr>
          <w:rStyle w:val="27"/>
          <w:rFonts w:ascii="宋体" w:hAnsi="宋体"/>
          <w:b/>
        </w:rPr>
        <w:t>1.3</w:t>
      </w:r>
      <w:r>
        <w:rPr>
          <w:rStyle w:val="27"/>
          <w:rFonts w:hint="eastAsia" w:ascii="宋体" w:hAnsi="宋体"/>
          <w:b/>
        </w:rPr>
        <w:t>编制依据</w:t>
      </w:r>
      <w:r>
        <w:tab/>
      </w:r>
      <w:r>
        <w:t>4</w:t>
      </w:r>
      <w:r>
        <w:fldChar w:fldCharType="end"/>
      </w:r>
    </w:p>
    <w:p>
      <w:pPr>
        <w:pStyle w:val="22"/>
        <w:rPr>
          <w:rFonts w:ascii="Calibri" w:hAnsi="Calibri" w:cs="黑体"/>
          <w:color w:val="auto"/>
          <w:szCs w:val="22"/>
        </w:rPr>
      </w:pPr>
      <w:r>
        <w:fldChar w:fldCharType="begin"/>
      </w:r>
      <w:r>
        <w:instrText xml:space="preserve"> HYPERLINK \l "_Toc353351857" </w:instrText>
      </w:r>
      <w:r>
        <w:fldChar w:fldCharType="separate"/>
      </w:r>
      <w:r>
        <w:rPr>
          <w:rStyle w:val="27"/>
          <w:rFonts w:hint="eastAsia" w:ascii="宋体" w:hAnsi="宋体"/>
          <w:b/>
          <w:bCs/>
        </w:rPr>
        <w:t>第二章</w:t>
      </w:r>
      <w:r>
        <w:rPr>
          <w:rStyle w:val="27"/>
          <w:rFonts w:ascii="宋体" w:hAnsi="宋体"/>
          <w:b/>
          <w:bCs/>
        </w:rPr>
        <w:t xml:space="preserve"> </w:t>
      </w:r>
      <w:r>
        <w:rPr>
          <w:rStyle w:val="27"/>
          <w:rFonts w:hint="eastAsia" w:ascii="宋体" w:hAnsi="宋体"/>
          <w:b/>
          <w:bCs/>
        </w:rPr>
        <w:t>总体施工规划</w:t>
      </w:r>
      <w:r>
        <w:tab/>
      </w:r>
      <w:r>
        <w:t>5</w:t>
      </w:r>
      <w:r>
        <w:fldChar w:fldCharType="end"/>
      </w:r>
    </w:p>
    <w:p>
      <w:pPr>
        <w:pStyle w:val="24"/>
        <w:tabs>
          <w:tab w:val="right" w:leader="dot" w:pos="8777"/>
        </w:tabs>
        <w:rPr>
          <w:rFonts w:ascii="Calibri" w:hAnsi="Calibri" w:cs="黑体"/>
          <w:szCs w:val="22"/>
        </w:rPr>
      </w:pPr>
      <w:r>
        <w:fldChar w:fldCharType="begin"/>
      </w:r>
      <w:r>
        <w:instrText xml:space="preserve"> HYPERLINK \l "_Toc353351858" </w:instrText>
      </w:r>
      <w:r>
        <w:fldChar w:fldCharType="separate"/>
      </w:r>
      <w:r>
        <w:rPr>
          <w:rStyle w:val="27"/>
          <w:rFonts w:ascii="宋体" w:hAnsi="宋体"/>
          <w:b/>
        </w:rPr>
        <w:t>2.1</w:t>
      </w:r>
      <w:r>
        <w:rPr>
          <w:rStyle w:val="27"/>
          <w:rFonts w:hint="eastAsia" w:ascii="宋体" w:hAnsi="宋体"/>
          <w:b/>
        </w:rPr>
        <w:t>工期安排</w:t>
      </w:r>
      <w:r>
        <w:tab/>
      </w:r>
      <w:r>
        <w:t>5</w:t>
      </w:r>
      <w:r>
        <w:fldChar w:fldCharType="end"/>
      </w:r>
    </w:p>
    <w:p>
      <w:pPr>
        <w:pStyle w:val="24"/>
        <w:tabs>
          <w:tab w:val="right" w:leader="dot" w:pos="8777"/>
        </w:tabs>
        <w:rPr>
          <w:rFonts w:ascii="Calibri" w:hAnsi="Calibri" w:cs="黑体"/>
          <w:szCs w:val="22"/>
        </w:rPr>
      </w:pPr>
      <w:r>
        <w:fldChar w:fldCharType="begin"/>
      </w:r>
      <w:r>
        <w:instrText xml:space="preserve"> HYPERLINK \l "_Toc353351859" </w:instrText>
      </w:r>
      <w:r>
        <w:fldChar w:fldCharType="separate"/>
      </w:r>
      <w:r>
        <w:rPr>
          <w:rStyle w:val="27"/>
          <w:rFonts w:ascii="宋体" w:hAnsi="宋体"/>
          <w:b/>
        </w:rPr>
        <w:t>2.2</w:t>
      </w:r>
      <w:r>
        <w:rPr>
          <w:rStyle w:val="27"/>
          <w:rFonts w:hint="eastAsia" w:ascii="宋体" w:hAnsi="宋体"/>
          <w:b/>
        </w:rPr>
        <w:t>施工组织及劳动力配备</w:t>
      </w:r>
      <w:r>
        <w:tab/>
      </w:r>
      <w:r>
        <w:t>5</w:t>
      </w:r>
      <w:r>
        <w:fldChar w:fldCharType="end"/>
      </w:r>
    </w:p>
    <w:p>
      <w:pPr>
        <w:pStyle w:val="24"/>
        <w:tabs>
          <w:tab w:val="right" w:leader="dot" w:pos="8777"/>
        </w:tabs>
        <w:rPr>
          <w:rFonts w:ascii="Calibri" w:hAnsi="Calibri" w:cs="黑体"/>
          <w:szCs w:val="22"/>
        </w:rPr>
      </w:pPr>
      <w:r>
        <w:fldChar w:fldCharType="begin"/>
      </w:r>
      <w:r>
        <w:instrText xml:space="preserve"> HYPERLINK \l "_Toc353351860" </w:instrText>
      </w:r>
      <w:r>
        <w:fldChar w:fldCharType="separate"/>
      </w:r>
      <w:r>
        <w:rPr>
          <w:rStyle w:val="27"/>
          <w:rFonts w:ascii="宋体" w:hAnsi="宋体"/>
          <w:b/>
        </w:rPr>
        <w:t>2.3</w:t>
      </w:r>
      <w:r>
        <w:rPr>
          <w:rStyle w:val="27"/>
          <w:rFonts w:hint="eastAsia" w:ascii="宋体" w:hAnsi="宋体"/>
          <w:b/>
        </w:rPr>
        <w:t>钻孔桩施工机械设备及进场计划</w:t>
      </w:r>
      <w:r>
        <w:tab/>
      </w:r>
      <w:r>
        <w:t>6</w:t>
      </w:r>
      <w:r>
        <w:fldChar w:fldCharType="end"/>
      </w:r>
    </w:p>
    <w:p>
      <w:pPr>
        <w:pStyle w:val="15"/>
        <w:tabs>
          <w:tab w:val="right" w:leader="dot" w:pos="8777"/>
        </w:tabs>
        <w:rPr>
          <w:rFonts w:ascii="Calibri" w:hAnsi="Calibri" w:cs="黑体"/>
          <w:szCs w:val="22"/>
        </w:rPr>
      </w:pPr>
      <w:r>
        <w:fldChar w:fldCharType="begin"/>
      </w:r>
      <w:r>
        <w:instrText xml:space="preserve"> HYPERLINK \l "_Toc353351861" </w:instrText>
      </w:r>
      <w:r>
        <w:fldChar w:fldCharType="separate"/>
      </w:r>
      <w:r>
        <w:rPr>
          <w:rStyle w:val="27"/>
          <w:rFonts w:ascii="宋体" w:hAnsi="宋体"/>
          <w:b/>
        </w:rPr>
        <w:t>2.3.1</w:t>
      </w:r>
      <w:r>
        <w:rPr>
          <w:rStyle w:val="27"/>
          <w:rFonts w:hint="eastAsia" w:ascii="宋体" w:hAnsi="宋体"/>
          <w:b/>
        </w:rPr>
        <w:t>主要设备介绍</w:t>
      </w:r>
      <w:r>
        <w:tab/>
      </w:r>
      <w:r>
        <w:t>6</w:t>
      </w:r>
      <w:r>
        <w:fldChar w:fldCharType="end"/>
      </w:r>
    </w:p>
    <w:p>
      <w:pPr>
        <w:pStyle w:val="15"/>
        <w:tabs>
          <w:tab w:val="right" w:leader="dot" w:pos="8777"/>
        </w:tabs>
        <w:rPr>
          <w:rFonts w:ascii="Calibri" w:hAnsi="Calibri" w:cs="黑体"/>
          <w:szCs w:val="22"/>
        </w:rPr>
      </w:pPr>
      <w:r>
        <w:fldChar w:fldCharType="begin"/>
      </w:r>
      <w:r>
        <w:instrText xml:space="preserve"> HYPERLINK \l "_Toc353351862" </w:instrText>
      </w:r>
      <w:r>
        <w:fldChar w:fldCharType="separate"/>
      </w:r>
      <w:r>
        <w:rPr>
          <w:rStyle w:val="27"/>
          <w:rFonts w:ascii="宋体" w:hAnsi="宋体"/>
          <w:b/>
        </w:rPr>
        <w:t>2.3.2</w:t>
      </w:r>
      <w:r>
        <w:rPr>
          <w:rStyle w:val="27"/>
          <w:rFonts w:hint="eastAsia" w:ascii="宋体" w:hAnsi="宋体"/>
          <w:b/>
        </w:rPr>
        <w:t>主要机械设备</w:t>
      </w:r>
      <w:r>
        <w:tab/>
      </w:r>
      <w:r>
        <w:t>7</w:t>
      </w:r>
      <w:r>
        <w:fldChar w:fldCharType="end"/>
      </w:r>
    </w:p>
    <w:p>
      <w:pPr>
        <w:pStyle w:val="22"/>
        <w:rPr>
          <w:rFonts w:ascii="Calibri" w:hAnsi="Calibri" w:cs="黑体"/>
          <w:color w:val="auto"/>
          <w:szCs w:val="22"/>
        </w:rPr>
      </w:pPr>
      <w:r>
        <w:fldChar w:fldCharType="begin"/>
      </w:r>
      <w:r>
        <w:instrText xml:space="preserve"> HYPERLINK \l "_Toc353351863" </w:instrText>
      </w:r>
      <w:r>
        <w:fldChar w:fldCharType="separate"/>
      </w:r>
      <w:r>
        <w:rPr>
          <w:rStyle w:val="27"/>
          <w:rFonts w:hint="eastAsia" w:ascii="宋体" w:hAnsi="宋体"/>
          <w:b/>
          <w:bCs/>
        </w:rPr>
        <w:t>第三章</w:t>
      </w:r>
      <w:r>
        <w:rPr>
          <w:rStyle w:val="27"/>
          <w:rFonts w:ascii="宋体" w:hAnsi="宋体"/>
          <w:b/>
          <w:bCs/>
        </w:rPr>
        <w:t xml:space="preserve"> </w:t>
      </w:r>
      <w:r>
        <w:rPr>
          <w:rStyle w:val="27"/>
          <w:rFonts w:hint="eastAsia" w:ascii="宋体" w:hAnsi="宋体"/>
          <w:b/>
          <w:bCs/>
        </w:rPr>
        <w:t>总体施工方案</w:t>
      </w:r>
      <w:r>
        <w:tab/>
      </w:r>
      <w:r>
        <w:t>9</w:t>
      </w:r>
      <w:r>
        <w:fldChar w:fldCharType="end"/>
      </w:r>
    </w:p>
    <w:p>
      <w:pPr>
        <w:pStyle w:val="24"/>
        <w:tabs>
          <w:tab w:val="right" w:leader="dot" w:pos="8777"/>
        </w:tabs>
        <w:rPr>
          <w:rFonts w:ascii="Calibri" w:hAnsi="Calibri" w:cs="黑体"/>
          <w:szCs w:val="22"/>
        </w:rPr>
      </w:pPr>
      <w:r>
        <w:fldChar w:fldCharType="begin"/>
      </w:r>
      <w:r>
        <w:instrText xml:space="preserve"> HYPERLINK \l "_Toc353351864" </w:instrText>
      </w:r>
      <w:r>
        <w:fldChar w:fldCharType="separate"/>
      </w:r>
      <w:r>
        <w:rPr>
          <w:rStyle w:val="27"/>
          <w:rFonts w:ascii="宋体" w:hAnsi="宋体"/>
          <w:b/>
        </w:rPr>
        <w:t xml:space="preserve">3.1 </w:t>
      </w:r>
      <w:r>
        <w:rPr>
          <w:rStyle w:val="27"/>
          <w:rFonts w:hint="eastAsia" w:ascii="宋体" w:hAnsi="宋体"/>
          <w:b/>
        </w:rPr>
        <w:t>方案概述</w:t>
      </w:r>
      <w:r>
        <w:tab/>
      </w:r>
      <w:r>
        <w:t>9</w:t>
      </w:r>
      <w:r>
        <w:fldChar w:fldCharType="end"/>
      </w:r>
    </w:p>
    <w:p>
      <w:pPr>
        <w:pStyle w:val="24"/>
        <w:tabs>
          <w:tab w:val="right" w:leader="dot" w:pos="8777"/>
        </w:tabs>
      </w:pPr>
      <w:r>
        <w:fldChar w:fldCharType="begin"/>
      </w:r>
      <w:r>
        <w:instrText xml:space="preserve"> HYPERLINK \l "_Toc353351865" </w:instrText>
      </w:r>
      <w:r>
        <w:fldChar w:fldCharType="separate"/>
      </w:r>
      <w:r>
        <w:rPr>
          <w:rStyle w:val="27"/>
          <w:rFonts w:ascii="宋体" w:hAnsi="宋体"/>
          <w:b/>
        </w:rPr>
        <w:t xml:space="preserve">3.2 </w:t>
      </w:r>
      <w:r>
        <w:rPr>
          <w:rStyle w:val="27"/>
          <w:rFonts w:hint="eastAsia" w:ascii="宋体" w:hAnsi="宋体"/>
          <w:b/>
        </w:rPr>
        <w:t>工艺流程</w:t>
      </w:r>
      <w:r>
        <w:tab/>
      </w:r>
      <w:r>
        <w:t>9</w:t>
      </w:r>
      <w:r>
        <w:fldChar w:fldCharType="end"/>
      </w:r>
    </w:p>
    <w:p>
      <w:pPr>
        <w:pStyle w:val="24"/>
        <w:tabs>
          <w:tab w:val="right" w:leader="dot" w:pos="8777"/>
        </w:tabs>
      </w:pPr>
      <w:r>
        <w:fldChar w:fldCharType="begin"/>
      </w:r>
      <w:r>
        <w:instrText xml:space="preserve"> HYPERLINK \l "_Toc353351865" </w:instrText>
      </w:r>
      <w:r>
        <w:fldChar w:fldCharType="separate"/>
      </w:r>
      <w:r>
        <w:rPr>
          <w:rStyle w:val="27"/>
          <w:rFonts w:ascii="宋体" w:hAnsi="宋体"/>
          <w:b/>
        </w:rPr>
        <w:t xml:space="preserve">3.3 </w:t>
      </w:r>
      <w:r>
        <w:rPr>
          <w:rStyle w:val="27"/>
          <w:rFonts w:hint="eastAsia" w:ascii="宋体" w:hAnsi="宋体"/>
          <w:b/>
        </w:rPr>
        <w:t>总平面布置图</w:t>
      </w:r>
      <w:r>
        <w:tab/>
      </w:r>
      <w:r>
        <w:fldChar w:fldCharType="begin"/>
      </w:r>
      <w:r>
        <w:instrText xml:space="preserve"> PAGEREF _Toc353351865 \h </w:instrText>
      </w:r>
      <w:r>
        <w:fldChar w:fldCharType="separate"/>
      </w:r>
      <w:r>
        <w:t>2</w:t>
      </w:r>
      <w:r>
        <w:fldChar w:fldCharType="end"/>
      </w:r>
      <w:r>
        <w:fldChar w:fldCharType="end"/>
      </w:r>
    </w:p>
    <w:p>
      <w:pPr>
        <w:pStyle w:val="22"/>
        <w:rPr>
          <w:rFonts w:ascii="Calibri" w:hAnsi="Calibri" w:cs="黑体"/>
          <w:color w:val="auto"/>
          <w:szCs w:val="22"/>
        </w:rPr>
      </w:pPr>
      <w:r>
        <w:fldChar w:fldCharType="begin"/>
      </w:r>
      <w:r>
        <w:instrText xml:space="preserve"> HYPERLINK \l "_Toc353351866" </w:instrText>
      </w:r>
      <w:r>
        <w:fldChar w:fldCharType="separate"/>
      </w:r>
      <w:r>
        <w:rPr>
          <w:rStyle w:val="27"/>
          <w:rFonts w:hint="eastAsia" w:ascii="宋体" w:hAnsi="宋体"/>
          <w:b/>
          <w:bCs/>
        </w:rPr>
        <w:t>第四章</w:t>
      </w:r>
      <w:r>
        <w:rPr>
          <w:rStyle w:val="27"/>
          <w:rFonts w:ascii="宋体" w:hAnsi="宋体"/>
          <w:b/>
          <w:bCs/>
        </w:rPr>
        <w:t xml:space="preserve"> </w:t>
      </w:r>
      <w:r>
        <w:rPr>
          <w:rStyle w:val="27"/>
          <w:rFonts w:hint="eastAsia" w:ascii="宋体" w:hAnsi="宋体"/>
          <w:b/>
          <w:bCs/>
        </w:rPr>
        <w:t>钻孔桩施工准备</w:t>
      </w:r>
      <w:r>
        <w:tab/>
      </w:r>
      <w:r>
        <w:fldChar w:fldCharType="begin"/>
      </w:r>
      <w:r>
        <w:instrText xml:space="preserve"> PAGEREF _Toc353351866 \h </w:instrText>
      </w:r>
      <w:r>
        <w:fldChar w:fldCharType="separate"/>
      </w:r>
      <w:r>
        <w:t>2</w:t>
      </w:r>
      <w:r>
        <w:fldChar w:fldCharType="end"/>
      </w:r>
      <w:r>
        <w:fldChar w:fldCharType="end"/>
      </w:r>
    </w:p>
    <w:p>
      <w:pPr>
        <w:pStyle w:val="24"/>
        <w:tabs>
          <w:tab w:val="right" w:leader="dot" w:pos="8777"/>
        </w:tabs>
        <w:rPr>
          <w:rFonts w:ascii="Calibri" w:hAnsi="Calibri" w:cs="黑体"/>
          <w:szCs w:val="22"/>
        </w:rPr>
      </w:pPr>
      <w:r>
        <w:fldChar w:fldCharType="begin"/>
      </w:r>
      <w:r>
        <w:instrText xml:space="preserve"> HYPERLINK \l "_Toc353351867" </w:instrText>
      </w:r>
      <w:r>
        <w:fldChar w:fldCharType="separate"/>
      </w:r>
      <w:r>
        <w:rPr>
          <w:rStyle w:val="27"/>
          <w:rFonts w:ascii="宋体" w:hAnsi="宋体"/>
          <w:b/>
        </w:rPr>
        <w:t>4.1</w:t>
      </w:r>
      <w:r>
        <w:rPr>
          <w:rStyle w:val="27"/>
          <w:rFonts w:hint="eastAsia" w:ascii="宋体" w:hAnsi="宋体"/>
          <w:b/>
        </w:rPr>
        <w:t>施工准备</w:t>
      </w:r>
      <w:r>
        <w:tab/>
      </w:r>
      <w:r>
        <w:fldChar w:fldCharType="begin"/>
      </w:r>
      <w:r>
        <w:instrText xml:space="preserve"> PAGEREF _Toc353351867 \h </w:instrText>
      </w:r>
      <w:r>
        <w:fldChar w:fldCharType="separate"/>
      </w:r>
      <w:r>
        <w:t>2</w:t>
      </w:r>
      <w:r>
        <w:fldChar w:fldCharType="end"/>
      </w:r>
      <w:r>
        <w:fldChar w:fldCharType="end"/>
      </w:r>
    </w:p>
    <w:p>
      <w:pPr>
        <w:pStyle w:val="15"/>
        <w:tabs>
          <w:tab w:val="right" w:leader="dot" w:pos="8777"/>
        </w:tabs>
        <w:rPr>
          <w:rFonts w:ascii="Calibri" w:hAnsi="Calibri" w:cs="黑体"/>
          <w:szCs w:val="22"/>
        </w:rPr>
      </w:pPr>
      <w:r>
        <w:fldChar w:fldCharType="begin"/>
      </w:r>
      <w:r>
        <w:instrText xml:space="preserve"> HYPERLINK \l "_Toc353351868" </w:instrText>
      </w:r>
      <w:r>
        <w:fldChar w:fldCharType="separate"/>
      </w:r>
      <w:r>
        <w:rPr>
          <w:rStyle w:val="27"/>
          <w:rFonts w:ascii="宋体" w:hAnsi="宋体"/>
          <w:b/>
        </w:rPr>
        <w:t>4.1.1</w:t>
      </w:r>
      <w:r>
        <w:rPr>
          <w:rStyle w:val="27"/>
          <w:rFonts w:hint="eastAsia" w:ascii="宋体" w:hAnsi="宋体"/>
          <w:b/>
        </w:rPr>
        <w:t>技术准备</w:t>
      </w:r>
      <w:r>
        <w:tab/>
      </w:r>
      <w:r>
        <w:fldChar w:fldCharType="begin"/>
      </w:r>
      <w:r>
        <w:instrText xml:space="preserve"> PAGEREF _Toc353351868 \h </w:instrText>
      </w:r>
      <w:r>
        <w:fldChar w:fldCharType="separate"/>
      </w:r>
      <w:r>
        <w:t>2</w:t>
      </w:r>
      <w:r>
        <w:fldChar w:fldCharType="end"/>
      </w:r>
      <w:r>
        <w:fldChar w:fldCharType="end"/>
      </w:r>
    </w:p>
    <w:p>
      <w:pPr>
        <w:pStyle w:val="15"/>
        <w:tabs>
          <w:tab w:val="right" w:leader="dot" w:pos="8777"/>
        </w:tabs>
        <w:rPr>
          <w:rFonts w:ascii="Calibri" w:hAnsi="Calibri" w:cs="黑体"/>
          <w:szCs w:val="22"/>
        </w:rPr>
      </w:pPr>
      <w:r>
        <w:fldChar w:fldCharType="begin"/>
      </w:r>
      <w:r>
        <w:instrText xml:space="preserve"> HYPERLINK \l "_Toc353351869" </w:instrText>
      </w:r>
      <w:r>
        <w:fldChar w:fldCharType="separate"/>
      </w:r>
      <w:r>
        <w:rPr>
          <w:rStyle w:val="27"/>
          <w:rFonts w:ascii="宋体" w:hAnsi="宋体"/>
          <w:b/>
        </w:rPr>
        <w:t>4.1.2</w:t>
      </w:r>
      <w:r>
        <w:rPr>
          <w:rStyle w:val="27"/>
          <w:rFonts w:hint="eastAsia" w:ascii="宋体" w:hAnsi="宋体"/>
          <w:b/>
          <w:kern w:val="0"/>
        </w:rPr>
        <w:t>施工现场控制网测量</w:t>
      </w:r>
      <w:r>
        <w:tab/>
      </w:r>
      <w:r>
        <w:fldChar w:fldCharType="begin"/>
      </w:r>
      <w:r>
        <w:instrText xml:space="preserve"> PAGEREF _Toc353351869 \h </w:instrText>
      </w:r>
      <w:r>
        <w:fldChar w:fldCharType="separate"/>
      </w:r>
      <w:r>
        <w:t>2</w:t>
      </w:r>
      <w:r>
        <w:fldChar w:fldCharType="end"/>
      </w:r>
      <w:r>
        <w:fldChar w:fldCharType="end"/>
      </w:r>
    </w:p>
    <w:p>
      <w:pPr>
        <w:pStyle w:val="15"/>
        <w:tabs>
          <w:tab w:val="right" w:leader="dot" w:pos="8777"/>
        </w:tabs>
        <w:rPr>
          <w:rFonts w:ascii="Calibri" w:hAnsi="Calibri" w:cs="黑体"/>
          <w:szCs w:val="22"/>
        </w:rPr>
      </w:pPr>
      <w:r>
        <w:fldChar w:fldCharType="begin"/>
      </w:r>
      <w:r>
        <w:instrText xml:space="preserve"> HYPERLINK \l "_Toc353351870" </w:instrText>
      </w:r>
      <w:r>
        <w:fldChar w:fldCharType="separate"/>
      </w:r>
      <w:r>
        <w:rPr>
          <w:rStyle w:val="27"/>
          <w:rFonts w:ascii="宋体" w:hAnsi="宋体"/>
          <w:b/>
        </w:rPr>
        <w:t>4.1.3</w:t>
      </w:r>
      <w:r>
        <w:rPr>
          <w:rStyle w:val="27"/>
          <w:rFonts w:hint="eastAsia" w:ascii="宋体" w:hAnsi="宋体"/>
          <w:b/>
          <w:kern w:val="0"/>
        </w:rPr>
        <w:t>场地准备</w:t>
      </w:r>
      <w:r>
        <w:tab/>
      </w:r>
      <w:r>
        <w:fldChar w:fldCharType="begin"/>
      </w:r>
      <w:r>
        <w:instrText xml:space="preserve"> PAGEREF _Toc353351870 \h </w:instrText>
      </w:r>
      <w:r>
        <w:fldChar w:fldCharType="separate"/>
      </w:r>
      <w:r>
        <w:t>2</w:t>
      </w:r>
      <w:r>
        <w:fldChar w:fldCharType="end"/>
      </w:r>
      <w:r>
        <w:fldChar w:fldCharType="end"/>
      </w:r>
    </w:p>
    <w:p>
      <w:pPr>
        <w:pStyle w:val="15"/>
        <w:tabs>
          <w:tab w:val="right" w:leader="dot" w:pos="8777"/>
        </w:tabs>
        <w:rPr>
          <w:rFonts w:ascii="Calibri" w:hAnsi="Calibri" w:cs="黑体"/>
          <w:szCs w:val="22"/>
        </w:rPr>
      </w:pPr>
      <w:r>
        <w:fldChar w:fldCharType="begin"/>
      </w:r>
      <w:r>
        <w:instrText xml:space="preserve"> HYPERLINK \l "_Toc353351871" </w:instrText>
      </w:r>
      <w:r>
        <w:fldChar w:fldCharType="separate"/>
      </w:r>
      <w:r>
        <w:rPr>
          <w:rStyle w:val="27"/>
          <w:rFonts w:ascii="宋体" w:hAnsi="宋体"/>
          <w:b/>
        </w:rPr>
        <w:t>4.1.4</w:t>
      </w:r>
      <w:r>
        <w:rPr>
          <w:rStyle w:val="27"/>
          <w:rFonts w:hint="eastAsia" w:ascii="宋体" w:hAnsi="宋体"/>
          <w:b/>
        </w:rPr>
        <w:t>钻孔平台搭设</w:t>
      </w:r>
      <w:r>
        <w:tab/>
      </w:r>
      <w:r>
        <w:fldChar w:fldCharType="begin"/>
      </w:r>
      <w:r>
        <w:instrText xml:space="preserve"> PAGEREF _Toc353351871 \h </w:instrText>
      </w:r>
      <w:r>
        <w:fldChar w:fldCharType="separate"/>
      </w:r>
      <w:r>
        <w:t>2</w:t>
      </w:r>
      <w:r>
        <w:fldChar w:fldCharType="end"/>
      </w:r>
      <w:r>
        <w:fldChar w:fldCharType="end"/>
      </w:r>
    </w:p>
    <w:p>
      <w:pPr>
        <w:pStyle w:val="15"/>
        <w:tabs>
          <w:tab w:val="right" w:leader="dot" w:pos="8777"/>
        </w:tabs>
        <w:rPr>
          <w:rFonts w:ascii="Calibri" w:hAnsi="Calibri" w:cs="黑体"/>
          <w:szCs w:val="22"/>
        </w:rPr>
      </w:pPr>
      <w:r>
        <w:fldChar w:fldCharType="begin"/>
      </w:r>
      <w:r>
        <w:instrText xml:space="preserve"> HYPERLINK \l "_Toc353351872" </w:instrText>
      </w:r>
      <w:r>
        <w:fldChar w:fldCharType="separate"/>
      </w:r>
      <w:r>
        <w:rPr>
          <w:rStyle w:val="27"/>
          <w:rFonts w:ascii="宋体" w:hAnsi="宋体"/>
          <w:b/>
        </w:rPr>
        <w:t>4.1.</w:t>
      </w:r>
      <w:r>
        <w:rPr>
          <w:rStyle w:val="27"/>
          <w:rFonts w:hAnsi="宋体"/>
          <w:b/>
        </w:rPr>
        <w:t>5</w:t>
      </w:r>
      <w:r>
        <w:rPr>
          <w:rStyle w:val="27"/>
          <w:rFonts w:hint="eastAsia" w:ascii="宋体" w:hAnsi="宋体"/>
          <w:b/>
          <w:kern w:val="0"/>
        </w:rPr>
        <w:t>生产准备</w:t>
      </w:r>
      <w:r>
        <w:tab/>
      </w:r>
      <w:r>
        <w:fldChar w:fldCharType="begin"/>
      </w:r>
      <w:r>
        <w:instrText xml:space="preserve"> PAGEREF _Toc353351872 \h </w:instrText>
      </w:r>
      <w:r>
        <w:fldChar w:fldCharType="separate"/>
      </w:r>
      <w:r>
        <w:t>2</w:t>
      </w:r>
      <w:r>
        <w:fldChar w:fldCharType="end"/>
      </w:r>
      <w:r>
        <w:fldChar w:fldCharType="end"/>
      </w:r>
    </w:p>
    <w:p>
      <w:pPr>
        <w:pStyle w:val="24"/>
        <w:tabs>
          <w:tab w:val="right" w:leader="dot" w:pos="8777"/>
        </w:tabs>
        <w:rPr>
          <w:rFonts w:ascii="Calibri" w:hAnsi="Calibri" w:cs="黑体"/>
          <w:szCs w:val="22"/>
        </w:rPr>
      </w:pPr>
      <w:r>
        <w:fldChar w:fldCharType="begin"/>
      </w:r>
      <w:r>
        <w:instrText xml:space="preserve"> HYPERLINK \l "_Toc353351873" </w:instrText>
      </w:r>
      <w:r>
        <w:fldChar w:fldCharType="separate"/>
      </w:r>
      <w:r>
        <w:rPr>
          <w:rStyle w:val="27"/>
          <w:rFonts w:ascii="宋体" w:hAnsi="宋体"/>
          <w:b/>
        </w:rPr>
        <w:t>4.2</w:t>
      </w:r>
      <w:r>
        <w:rPr>
          <w:rStyle w:val="27"/>
          <w:rFonts w:hint="eastAsia" w:ascii="宋体" w:hAnsi="宋体"/>
          <w:b/>
        </w:rPr>
        <w:t>施工现场临时水、电布置方案</w:t>
      </w:r>
      <w:r>
        <w:tab/>
      </w:r>
      <w:r>
        <w:fldChar w:fldCharType="begin"/>
      </w:r>
      <w:r>
        <w:instrText xml:space="preserve"> PAGEREF _Toc353351873 \h </w:instrText>
      </w:r>
      <w:r>
        <w:fldChar w:fldCharType="separate"/>
      </w:r>
      <w:r>
        <w:t>2</w:t>
      </w:r>
      <w:r>
        <w:fldChar w:fldCharType="end"/>
      </w:r>
      <w:r>
        <w:fldChar w:fldCharType="end"/>
      </w:r>
    </w:p>
    <w:p>
      <w:pPr>
        <w:pStyle w:val="15"/>
        <w:tabs>
          <w:tab w:val="right" w:leader="dot" w:pos="8777"/>
        </w:tabs>
        <w:ind w:left="0" w:leftChars="0" w:firstLine="420" w:firstLineChars="200"/>
        <w:rPr>
          <w:rFonts w:ascii="Calibri" w:hAnsi="Calibri" w:cs="黑体"/>
          <w:szCs w:val="22"/>
        </w:rPr>
      </w:pPr>
      <w:r>
        <w:fldChar w:fldCharType="begin"/>
      </w:r>
      <w:r>
        <w:instrText xml:space="preserve"> HYPERLINK \l "_Toc353351874" </w:instrText>
      </w:r>
      <w:r>
        <w:fldChar w:fldCharType="separate"/>
      </w:r>
      <w:r>
        <w:rPr>
          <w:rStyle w:val="27"/>
          <w:rFonts w:ascii="宋体" w:hAnsi="宋体"/>
          <w:b/>
        </w:rPr>
        <w:t>4.3</w:t>
      </w:r>
      <w:r>
        <w:rPr>
          <w:rStyle w:val="27"/>
          <w:rFonts w:hint="eastAsia" w:ascii="宋体" w:hAnsi="宋体"/>
          <w:b/>
        </w:rPr>
        <w:t>混凝土制备及供应方式</w:t>
      </w:r>
      <w:r>
        <w:tab/>
      </w:r>
      <w:r>
        <w:fldChar w:fldCharType="begin"/>
      </w:r>
      <w:r>
        <w:instrText xml:space="preserve"> PAGEREF _Toc353351874 \h </w:instrText>
      </w:r>
      <w:r>
        <w:fldChar w:fldCharType="separate"/>
      </w:r>
      <w:r>
        <w:t>2</w:t>
      </w:r>
      <w:r>
        <w:fldChar w:fldCharType="end"/>
      </w:r>
      <w:r>
        <w:fldChar w:fldCharType="end"/>
      </w:r>
    </w:p>
    <w:p>
      <w:pPr>
        <w:pStyle w:val="15"/>
        <w:tabs>
          <w:tab w:val="right" w:leader="dot" w:pos="8777"/>
        </w:tabs>
        <w:ind w:left="0" w:leftChars="0" w:firstLine="420" w:firstLineChars="200"/>
        <w:rPr>
          <w:rFonts w:ascii="Calibri" w:hAnsi="Calibri" w:cs="黑体"/>
          <w:szCs w:val="22"/>
        </w:rPr>
      </w:pPr>
      <w:r>
        <w:fldChar w:fldCharType="begin"/>
      </w:r>
      <w:r>
        <w:instrText xml:space="preserve"> HYPERLINK \l "_Toc353351875" </w:instrText>
      </w:r>
      <w:r>
        <w:fldChar w:fldCharType="separate"/>
      </w:r>
      <w:r>
        <w:rPr>
          <w:rStyle w:val="27"/>
          <w:rFonts w:ascii="宋体" w:hAnsi="宋体"/>
          <w:b/>
        </w:rPr>
        <w:t xml:space="preserve">4.4 </w:t>
      </w:r>
      <w:r>
        <w:rPr>
          <w:rStyle w:val="27"/>
          <w:rFonts w:hint="eastAsia" w:ascii="宋体" w:hAnsi="宋体"/>
          <w:b/>
        </w:rPr>
        <w:t>泥浆配备及泥浆循环系统</w:t>
      </w:r>
      <w:r>
        <w:tab/>
      </w:r>
      <w:r>
        <w:fldChar w:fldCharType="begin"/>
      </w:r>
      <w:r>
        <w:instrText xml:space="preserve"> PAGEREF _Toc353351875 \h </w:instrText>
      </w:r>
      <w:r>
        <w:fldChar w:fldCharType="separate"/>
      </w:r>
      <w:r>
        <w:t>2</w:t>
      </w:r>
      <w:r>
        <w:fldChar w:fldCharType="end"/>
      </w:r>
      <w:r>
        <w:fldChar w:fldCharType="end"/>
      </w:r>
    </w:p>
    <w:p>
      <w:pPr>
        <w:pStyle w:val="15"/>
        <w:tabs>
          <w:tab w:val="right" w:leader="dot" w:pos="8777"/>
        </w:tabs>
        <w:rPr>
          <w:rFonts w:ascii="Calibri" w:hAnsi="Calibri" w:cs="黑体"/>
          <w:szCs w:val="22"/>
        </w:rPr>
      </w:pPr>
      <w:r>
        <w:fldChar w:fldCharType="begin"/>
      </w:r>
      <w:r>
        <w:instrText xml:space="preserve"> HYPERLINK \l "_Toc353351876" </w:instrText>
      </w:r>
      <w:r>
        <w:fldChar w:fldCharType="separate"/>
      </w:r>
      <w:r>
        <w:rPr>
          <w:rStyle w:val="27"/>
          <w:rFonts w:ascii="宋体" w:hAnsi="宋体"/>
          <w:b/>
        </w:rPr>
        <w:t>4.4.1</w:t>
      </w:r>
      <w:r>
        <w:rPr>
          <w:rStyle w:val="27"/>
          <w:rFonts w:hint="eastAsia" w:ascii="宋体" w:hAnsi="宋体"/>
          <w:b/>
        </w:rPr>
        <w:t>泥浆配备</w:t>
      </w:r>
      <w:r>
        <w:tab/>
      </w:r>
      <w:r>
        <w:fldChar w:fldCharType="begin"/>
      </w:r>
      <w:r>
        <w:instrText xml:space="preserve"> PAGEREF _Toc353351876 \h </w:instrText>
      </w:r>
      <w:r>
        <w:fldChar w:fldCharType="separate"/>
      </w:r>
      <w:r>
        <w:t>2</w:t>
      </w:r>
      <w:r>
        <w:fldChar w:fldCharType="end"/>
      </w:r>
      <w:r>
        <w:fldChar w:fldCharType="end"/>
      </w:r>
    </w:p>
    <w:p>
      <w:pPr>
        <w:pStyle w:val="15"/>
        <w:tabs>
          <w:tab w:val="right" w:leader="dot" w:pos="8777"/>
        </w:tabs>
        <w:rPr>
          <w:rFonts w:ascii="Calibri" w:hAnsi="Calibri" w:cs="黑体"/>
          <w:szCs w:val="22"/>
        </w:rPr>
      </w:pPr>
      <w:r>
        <w:fldChar w:fldCharType="begin"/>
      </w:r>
      <w:r>
        <w:instrText xml:space="preserve"> HYPERLINK \l "_Toc353351877" </w:instrText>
      </w:r>
      <w:r>
        <w:fldChar w:fldCharType="separate"/>
      </w:r>
      <w:r>
        <w:rPr>
          <w:rStyle w:val="27"/>
          <w:rFonts w:ascii="宋体" w:hAnsi="宋体"/>
          <w:b/>
        </w:rPr>
        <w:t>4.4.2</w:t>
      </w:r>
      <w:r>
        <w:rPr>
          <w:rStyle w:val="27"/>
          <w:rFonts w:hint="eastAsia" w:ascii="宋体" w:hAnsi="宋体"/>
          <w:b/>
        </w:rPr>
        <w:t>泥浆循环、净化系统的布置</w:t>
      </w:r>
      <w:r>
        <w:tab/>
      </w:r>
      <w:r>
        <w:fldChar w:fldCharType="begin"/>
      </w:r>
      <w:r>
        <w:instrText xml:space="preserve"> PAGEREF _Toc353351877 \h </w:instrText>
      </w:r>
      <w:r>
        <w:fldChar w:fldCharType="separate"/>
      </w:r>
      <w:r>
        <w:t>2</w:t>
      </w:r>
      <w:r>
        <w:fldChar w:fldCharType="end"/>
      </w:r>
      <w:r>
        <w:fldChar w:fldCharType="end"/>
      </w:r>
    </w:p>
    <w:p>
      <w:pPr>
        <w:pStyle w:val="24"/>
        <w:tabs>
          <w:tab w:val="right" w:leader="dot" w:pos="8777"/>
        </w:tabs>
        <w:rPr>
          <w:rFonts w:ascii="Calibri" w:hAnsi="Calibri" w:cs="黑体"/>
          <w:szCs w:val="22"/>
        </w:rPr>
      </w:pPr>
      <w:r>
        <w:fldChar w:fldCharType="begin"/>
      </w:r>
      <w:r>
        <w:instrText xml:space="preserve"> HYPERLINK \l "_Toc353351878" </w:instrText>
      </w:r>
      <w:r>
        <w:fldChar w:fldCharType="separate"/>
      </w:r>
      <w:r>
        <w:rPr>
          <w:rStyle w:val="27"/>
          <w:rFonts w:ascii="宋体" w:hAnsi="宋体"/>
          <w:b/>
        </w:rPr>
        <w:t>4.5</w:t>
      </w:r>
      <w:r>
        <w:rPr>
          <w:rStyle w:val="27"/>
          <w:rFonts w:hint="eastAsia" w:ascii="宋体" w:hAnsi="宋体"/>
          <w:b/>
        </w:rPr>
        <w:t>钢护筒施工</w:t>
      </w:r>
      <w:r>
        <w:tab/>
      </w:r>
      <w:r>
        <w:fldChar w:fldCharType="begin"/>
      </w:r>
      <w:r>
        <w:instrText xml:space="preserve"> PAGEREF _Toc353351878 \h </w:instrText>
      </w:r>
      <w:r>
        <w:fldChar w:fldCharType="separate"/>
      </w:r>
      <w:r>
        <w:t>2</w:t>
      </w:r>
      <w:r>
        <w:fldChar w:fldCharType="end"/>
      </w:r>
      <w:r>
        <w:fldChar w:fldCharType="end"/>
      </w:r>
    </w:p>
    <w:p>
      <w:pPr>
        <w:pStyle w:val="15"/>
        <w:tabs>
          <w:tab w:val="right" w:leader="dot" w:pos="8777"/>
        </w:tabs>
        <w:rPr>
          <w:rFonts w:ascii="Calibri" w:hAnsi="Calibri" w:cs="黑体"/>
          <w:szCs w:val="22"/>
        </w:rPr>
      </w:pPr>
      <w:r>
        <w:fldChar w:fldCharType="begin"/>
      </w:r>
      <w:r>
        <w:instrText xml:space="preserve"> HYPERLINK \l "_Toc353351879" </w:instrText>
      </w:r>
      <w:r>
        <w:fldChar w:fldCharType="separate"/>
      </w:r>
      <w:r>
        <w:rPr>
          <w:rStyle w:val="27"/>
          <w:rFonts w:ascii="宋体" w:hAnsi="宋体"/>
          <w:b/>
        </w:rPr>
        <w:t>4.5.1</w:t>
      </w:r>
      <w:r>
        <w:rPr>
          <w:rStyle w:val="27"/>
          <w:rFonts w:hint="eastAsia" w:ascii="宋体" w:hAnsi="宋体"/>
          <w:b/>
        </w:rPr>
        <w:t>施工测量</w:t>
      </w:r>
      <w:r>
        <w:tab/>
      </w:r>
      <w:r>
        <w:fldChar w:fldCharType="begin"/>
      </w:r>
      <w:r>
        <w:instrText xml:space="preserve"> PAGEREF _Toc353351879 \h </w:instrText>
      </w:r>
      <w:r>
        <w:fldChar w:fldCharType="separate"/>
      </w:r>
      <w:r>
        <w:t>2</w:t>
      </w:r>
      <w:r>
        <w:fldChar w:fldCharType="end"/>
      </w:r>
      <w:r>
        <w:fldChar w:fldCharType="end"/>
      </w:r>
    </w:p>
    <w:p>
      <w:pPr>
        <w:pStyle w:val="15"/>
        <w:tabs>
          <w:tab w:val="right" w:leader="dot" w:pos="8777"/>
        </w:tabs>
        <w:rPr>
          <w:rFonts w:ascii="Calibri" w:hAnsi="Calibri" w:cs="黑体"/>
          <w:szCs w:val="22"/>
        </w:rPr>
      </w:pPr>
      <w:r>
        <w:fldChar w:fldCharType="begin"/>
      </w:r>
      <w:r>
        <w:instrText xml:space="preserve"> HYPERLINK \l "_Toc353351880" </w:instrText>
      </w:r>
      <w:r>
        <w:fldChar w:fldCharType="separate"/>
      </w:r>
      <w:r>
        <w:rPr>
          <w:rStyle w:val="27"/>
          <w:rFonts w:ascii="宋体" w:hAnsi="宋体"/>
          <w:b/>
        </w:rPr>
        <w:t>4.5.2</w:t>
      </w:r>
      <w:r>
        <w:rPr>
          <w:rStyle w:val="27"/>
          <w:rFonts w:hint="eastAsia" w:ascii="宋体" w:hAnsi="宋体"/>
          <w:b/>
        </w:rPr>
        <w:t>钢护筒埋设施工</w:t>
      </w:r>
      <w:r>
        <w:tab/>
      </w:r>
      <w:r>
        <w:fldChar w:fldCharType="begin"/>
      </w:r>
      <w:r>
        <w:instrText xml:space="preserve"> PAGEREF _Toc353351880 \h </w:instrText>
      </w:r>
      <w:r>
        <w:fldChar w:fldCharType="separate"/>
      </w:r>
      <w:r>
        <w:t>2</w:t>
      </w:r>
      <w:r>
        <w:fldChar w:fldCharType="end"/>
      </w:r>
      <w:r>
        <w:fldChar w:fldCharType="end"/>
      </w:r>
    </w:p>
    <w:p>
      <w:pPr>
        <w:pStyle w:val="24"/>
        <w:tabs>
          <w:tab w:val="right" w:leader="dot" w:pos="8777"/>
        </w:tabs>
        <w:rPr>
          <w:rFonts w:ascii="Calibri" w:hAnsi="Calibri" w:cs="黑体"/>
          <w:szCs w:val="22"/>
        </w:rPr>
      </w:pPr>
      <w:r>
        <w:fldChar w:fldCharType="begin"/>
      </w:r>
      <w:r>
        <w:instrText xml:space="preserve"> HYPERLINK \l "_Toc353351881" </w:instrText>
      </w:r>
      <w:r>
        <w:fldChar w:fldCharType="separate"/>
      </w:r>
      <w:r>
        <w:rPr>
          <w:rStyle w:val="27"/>
          <w:rFonts w:hint="eastAsia" w:ascii="宋体" w:hAnsi="宋体"/>
          <w:b/>
        </w:rPr>
        <w:t>第五章</w:t>
      </w:r>
      <w:r>
        <w:rPr>
          <w:rStyle w:val="27"/>
          <w:rFonts w:ascii="宋体" w:hAnsi="宋体"/>
          <w:b/>
        </w:rPr>
        <w:t xml:space="preserve"> </w:t>
      </w:r>
      <w:r>
        <w:rPr>
          <w:rStyle w:val="27"/>
          <w:rFonts w:hint="eastAsia" w:ascii="宋体" w:hAnsi="宋体"/>
          <w:b/>
        </w:rPr>
        <w:t>钻孔施工</w:t>
      </w:r>
      <w:r>
        <w:tab/>
      </w:r>
      <w:r>
        <w:fldChar w:fldCharType="begin"/>
      </w:r>
      <w:r>
        <w:instrText xml:space="preserve"> PAGEREF _Toc353351881 \h </w:instrText>
      </w:r>
      <w:r>
        <w:fldChar w:fldCharType="separate"/>
      </w:r>
      <w:r>
        <w:t>2</w:t>
      </w:r>
      <w:r>
        <w:fldChar w:fldCharType="end"/>
      </w:r>
      <w:r>
        <w:fldChar w:fldCharType="end"/>
      </w:r>
    </w:p>
    <w:p>
      <w:pPr>
        <w:pStyle w:val="15"/>
        <w:tabs>
          <w:tab w:val="right" w:leader="dot" w:pos="8777"/>
        </w:tabs>
        <w:rPr>
          <w:rFonts w:ascii="Calibri" w:hAnsi="Calibri" w:cs="黑体"/>
          <w:szCs w:val="22"/>
        </w:rPr>
      </w:pPr>
      <w:r>
        <w:fldChar w:fldCharType="begin"/>
      </w:r>
      <w:r>
        <w:instrText xml:space="preserve"> HYPERLINK \l "_Toc353351882" </w:instrText>
      </w:r>
      <w:r>
        <w:fldChar w:fldCharType="separate"/>
      </w:r>
      <w:r>
        <w:rPr>
          <w:rStyle w:val="27"/>
          <w:rFonts w:ascii="宋体" w:hAnsi="宋体"/>
          <w:b/>
        </w:rPr>
        <w:t>5.1</w:t>
      </w:r>
      <w:r>
        <w:rPr>
          <w:rStyle w:val="27"/>
          <w:rFonts w:hint="eastAsia" w:ascii="宋体" w:hAnsi="宋体"/>
          <w:b/>
        </w:rPr>
        <w:t>钻孔</w:t>
      </w:r>
      <w:r>
        <w:tab/>
      </w:r>
      <w:r>
        <w:fldChar w:fldCharType="begin"/>
      </w:r>
      <w:r>
        <w:instrText xml:space="preserve"> PAGEREF _Toc353351882 \h </w:instrText>
      </w:r>
      <w:r>
        <w:fldChar w:fldCharType="separate"/>
      </w:r>
      <w:r>
        <w:t>2</w:t>
      </w:r>
      <w:r>
        <w:fldChar w:fldCharType="end"/>
      </w:r>
      <w:r>
        <w:fldChar w:fldCharType="end"/>
      </w:r>
    </w:p>
    <w:p>
      <w:pPr>
        <w:pStyle w:val="15"/>
        <w:tabs>
          <w:tab w:val="right" w:leader="dot" w:pos="8777"/>
        </w:tabs>
        <w:rPr>
          <w:rFonts w:ascii="Calibri" w:hAnsi="Calibri" w:cs="黑体"/>
          <w:szCs w:val="22"/>
        </w:rPr>
      </w:pPr>
      <w:r>
        <w:fldChar w:fldCharType="begin"/>
      </w:r>
      <w:r>
        <w:instrText xml:space="preserve"> HYPERLINK \l "_Toc353351883" </w:instrText>
      </w:r>
      <w:r>
        <w:fldChar w:fldCharType="separate"/>
      </w:r>
      <w:r>
        <w:rPr>
          <w:rStyle w:val="27"/>
          <w:rFonts w:ascii="宋体" w:hAnsi="宋体"/>
          <w:b/>
        </w:rPr>
        <w:t>5.2</w:t>
      </w:r>
      <w:r>
        <w:rPr>
          <w:rStyle w:val="27"/>
          <w:rFonts w:hint="eastAsia" w:ascii="宋体" w:hAnsi="宋体"/>
          <w:b/>
        </w:rPr>
        <w:t>钻孔控制</w:t>
      </w:r>
      <w:r>
        <w:tab/>
      </w:r>
      <w:r>
        <w:fldChar w:fldCharType="begin"/>
      </w:r>
      <w:r>
        <w:instrText xml:space="preserve"> PAGEREF _Toc353351883 \h </w:instrText>
      </w:r>
      <w:r>
        <w:fldChar w:fldCharType="separate"/>
      </w:r>
      <w:r>
        <w:t>2</w:t>
      </w:r>
      <w:r>
        <w:fldChar w:fldCharType="end"/>
      </w:r>
      <w:r>
        <w:fldChar w:fldCharType="end"/>
      </w:r>
    </w:p>
    <w:p>
      <w:pPr>
        <w:pStyle w:val="15"/>
        <w:tabs>
          <w:tab w:val="right" w:leader="dot" w:pos="8777"/>
        </w:tabs>
        <w:rPr>
          <w:rFonts w:ascii="Calibri" w:hAnsi="Calibri" w:cs="黑体"/>
          <w:szCs w:val="22"/>
        </w:rPr>
      </w:pPr>
      <w:r>
        <w:fldChar w:fldCharType="begin"/>
      </w:r>
      <w:r>
        <w:instrText xml:space="preserve"> HYPERLINK \l "_Toc353351884" </w:instrText>
      </w:r>
      <w:r>
        <w:fldChar w:fldCharType="separate"/>
      </w:r>
      <w:r>
        <w:rPr>
          <w:rStyle w:val="27"/>
          <w:rFonts w:ascii="宋体" w:hAnsi="宋体"/>
          <w:b/>
        </w:rPr>
        <w:t>5.3</w:t>
      </w:r>
      <w:r>
        <w:rPr>
          <w:rStyle w:val="27"/>
          <w:rFonts w:hint="eastAsia" w:ascii="宋体" w:hAnsi="宋体"/>
          <w:b/>
        </w:rPr>
        <w:t>钻孔过程中的有关注意事项</w:t>
      </w:r>
      <w:r>
        <w:tab/>
      </w:r>
      <w:r>
        <w:t>1</w:t>
      </w:r>
      <w:r>
        <w:fldChar w:fldCharType="end"/>
      </w:r>
      <w:r>
        <w:t>9</w:t>
      </w:r>
    </w:p>
    <w:p>
      <w:pPr>
        <w:pStyle w:val="15"/>
        <w:tabs>
          <w:tab w:val="right" w:leader="dot" w:pos="8777"/>
        </w:tabs>
        <w:rPr>
          <w:rFonts w:ascii="Calibri" w:hAnsi="Calibri" w:cs="黑体"/>
          <w:szCs w:val="22"/>
        </w:rPr>
      </w:pPr>
      <w:r>
        <w:fldChar w:fldCharType="begin"/>
      </w:r>
      <w:r>
        <w:instrText xml:space="preserve"> HYPERLINK \l "_Toc353351885" </w:instrText>
      </w:r>
      <w:r>
        <w:fldChar w:fldCharType="separate"/>
      </w:r>
      <w:r>
        <w:rPr>
          <w:rStyle w:val="27"/>
          <w:rFonts w:ascii="宋体" w:hAnsi="宋体"/>
          <w:b/>
        </w:rPr>
        <w:t xml:space="preserve">5.4 </w:t>
      </w:r>
      <w:r>
        <w:rPr>
          <w:rStyle w:val="27"/>
          <w:rFonts w:hint="eastAsia" w:ascii="宋体" w:hAnsi="宋体"/>
          <w:b/>
        </w:rPr>
        <w:t>清孔</w:t>
      </w:r>
      <w:r>
        <w:tab/>
      </w:r>
      <w:r>
        <w:t>1</w:t>
      </w:r>
      <w:r>
        <w:fldChar w:fldCharType="end"/>
      </w:r>
      <w:r>
        <w:t>9</w:t>
      </w:r>
    </w:p>
    <w:p>
      <w:pPr>
        <w:pStyle w:val="15"/>
        <w:tabs>
          <w:tab w:val="right" w:leader="dot" w:pos="8777"/>
        </w:tabs>
        <w:rPr>
          <w:rFonts w:ascii="Calibri" w:hAnsi="Calibri" w:cs="黑体"/>
          <w:szCs w:val="22"/>
        </w:rPr>
      </w:pPr>
      <w:r>
        <w:fldChar w:fldCharType="begin"/>
      </w:r>
      <w:r>
        <w:instrText xml:space="preserve"> HYPERLINK \l "_Toc353351886" </w:instrText>
      </w:r>
      <w:r>
        <w:fldChar w:fldCharType="separate"/>
      </w:r>
      <w:r>
        <w:rPr>
          <w:rStyle w:val="27"/>
          <w:rFonts w:ascii="宋体" w:hAnsi="宋体"/>
          <w:b/>
        </w:rPr>
        <w:t xml:space="preserve">5.5 </w:t>
      </w:r>
      <w:r>
        <w:rPr>
          <w:rStyle w:val="27"/>
          <w:rFonts w:hint="eastAsia" w:ascii="宋体" w:hAnsi="宋体"/>
          <w:b/>
        </w:rPr>
        <w:t>成孔质量检查</w:t>
      </w:r>
      <w:r>
        <w:tab/>
      </w:r>
      <w:r>
        <w:fldChar w:fldCharType="begin"/>
      </w:r>
      <w:r>
        <w:instrText xml:space="preserve"> PAGEREF _Toc353351886 \h </w:instrText>
      </w:r>
      <w:r>
        <w:fldChar w:fldCharType="separate"/>
      </w:r>
      <w:r>
        <w:t>2</w:t>
      </w:r>
      <w:r>
        <w:fldChar w:fldCharType="end"/>
      </w:r>
      <w:r>
        <w:fldChar w:fldCharType="end"/>
      </w:r>
    </w:p>
    <w:p>
      <w:pPr>
        <w:pStyle w:val="24"/>
        <w:tabs>
          <w:tab w:val="right" w:leader="dot" w:pos="8777"/>
        </w:tabs>
        <w:rPr>
          <w:rFonts w:ascii="Calibri" w:hAnsi="Calibri" w:cs="黑体"/>
          <w:szCs w:val="22"/>
        </w:rPr>
      </w:pPr>
      <w:r>
        <w:fldChar w:fldCharType="begin"/>
      </w:r>
      <w:r>
        <w:instrText xml:space="preserve"> HYPERLINK \l "_Toc353351887" </w:instrText>
      </w:r>
      <w:r>
        <w:fldChar w:fldCharType="separate"/>
      </w:r>
      <w:r>
        <w:rPr>
          <w:rStyle w:val="27"/>
          <w:rFonts w:hint="eastAsia" w:ascii="宋体" w:hAnsi="宋体"/>
          <w:b/>
        </w:rPr>
        <w:t>第六章</w:t>
      </w:r>
      <w:r>
        <w:rPr>
          <w:rStyle w:val="27"/>
          <w:rFonts w:ascii="宋体" w:hAnsi="宋体"/>
          <w:b/>
        </w:rPr>
        <w:t xml:space="preserve"> </w:t>
      </w:r>
      <w:r>
        <w:rPr>
          <w:rStyle w:val="27"/>
          <w:rFonts w:hint="eastAsia" w:ascii="宋体" w:hAnsi="宋体"/>
          <w:b/>
        </w:rPr>
        <w:t>钢筋笼制作与安装</w:t>
      </w:r>
      <w:r>
        <w:tab/>
      </w:r>
      <w:r>
        <w:fldChar w:fldCharType="begin"/>
      </w:r>
      <w:r>
        <w:instrText xml:space="preserve"> PAGEREF _Toc353351887 \h </w:instrText>
      </w:r>
      <w:r>
        <w:fldChar w:fldCharType="separate"/>
      </w:r>
      <w:r>
        <w:t>2</w:t>
      </w:r>
      <w:r>
        <w:fldChar w:fldCharType="end"/>
      </w:r>
      <w:r>
        <w:fldChar w:fldCharType="end"/>
      </w:r>
    </w:p>
    <w:p>
      <w:pPr>
        <w:pStyle w:val="15"/>
        <w:tabs>
          <w:tab w:val="right" w:leader="dot" w:pos="8777"/>
        </w:tabs>
        <w:rPr>
          <w:rFonts w:ascii="Calibri" w:hAnsi="Calibri" w:cs="黑体"/>
          <w:szCs w:val="22"/>
        </w:rPr>
      </w:pPr>
      <w:r>
        <w:fldChar w:fldCharType="begin"/>
      </w:r>
      <w:r>
        <w:instrText xml:space="preserve"> HYPERLINK \l "_Toc353351888" </w:instrText>
      </w:r>
      <w:r>
        <w:fldChar w:fldCharType="separate"/>
      </w:r>
      <w:r>
        <w:rPr>
          <w:rStyle w:val="27"/>
          <w:rFonts w:ascii="宋体" w:hAnsi="宋体"/>
          <w:b/>
        </w:rPr>
        <w:t xml:space="preserve">6.1 </w:t>
      </w:r>
      <w:r>
        <w:rPr>
          <w:rStyle w:val="27"/>
          <w:rFonts w:hint="eastAsia" w:ascii="宋体" w:hAnsi="宋体"/>
          <w:b/>
        </w:rPr>
        <w:t>材料进场</w:t>
      </w:r>
      <w:r>
        <w:tab/>
      </w:r>
      <w:r>
        <w:fldChar w:fldCharType="begin"/>
      </w:r>
      <w:r>
        <w:instrText xml:space="preserve"> PAGEREF _Toc353351888 \h </w:instrText>
      </w:r>
      <w:r>
        <w:fldChar w:fldCharType="separate"/>
      </w:r>
      <w:r>
        <w:t>2</w:t>
      </w:r>
      <w:r>
        <w:fldChar w:fldCharType="end"/>
      </w:r>
      <w:r>
        <w:fldChar w:fldCharType="end"/>
      </w:r>
    </w:p>
    <w:p>
      <w:pPr>
        <w:pStyle w:val="15"/>
        <w:tabs>
          <w:tab w:val="right" w:leader="dot" w:pos="8777"/>
        </w:tabs>
        <w:rPr>
          <w:rFonts w:ascii="Calibri" w:hAnsi="Calibri" w:cs="黑体"/>
          <w:szCs w:val="22"/>
        </w:rPr>
      </w:pPr>
      <w:r>
        <w:fldChar w:fldCharType="begin"/>
      </w:r>
      <w:r>
        <w:instrText xml:space="preserve"> HYPERLINK \l "_Toc353351889" </w:instrText>
      </w:r>
      <w:r>
        <w:fldChar w:fldCharType="separate"/>
      </w:r>
      <w:r>
        <w:rPr>
          <w:rStyle w:val="27"/>
          <w:rFonts w:ascii="宋体" w:hAnsi="宋体"/>
          <w:b/>
        </w:rPr>
        <w:t xml:space="preserve">6.2 </w:t>
      </w:r>
      <w:r>
        <w:rPr>
          <w:rStyle w:val="27"/>
          <w:rFonts w:hint="eastAsia" w:ascii="宋体" w:hAnsi="宋体"/>
          <w:b/>
        </w:rPr>
        <w:t>钢筋笼的分节及下料</w:t>
      </w:r>
      <w:r>
        <w:tab/>
      </w:r>
      <w:r>
        <w:fldChar w:fldCharType="begin"/>
      </w:r>
      <w:r>
        <w:instrText xml:space="preserve"> PAGEREF _Toc353351889 \h </w:instrText>
      </w:r>
      <w:r>
        <w:fldChar w:fldCharType="separate"/>
      </w:r>
      <w:r>
        <w:t>2</w:t>
      </w:r>
      <w:r>
        <w:fldChar w:fldCharType="end"/>
      </w:r>
      <w:r>
        <w:fldChar w:fldCharType="end"/>
      </w:r>
    </w:p>
    <w:p>
      <w:pPr>
        <w:pStyle w:val="15"/>
        <w:tabs>
          <w:tab w:val="right" w:leader="dot" w:pos="8777"/>
        </w:tabs>
        <w:rPr>
          <w:rFonts w:ascii="Calibri" w:hAnsi="Calibri" w:cs="黑体"/>
          <w:szCs w:val="22"/>
        </w:rPr>
      </w:pPr>
      <w:r>
        <w:fldChar w:fldCharType="begin"/>
      </w:r>
      <w:r>
        <w:instrText xml:space="preserve"> HYPERLINK \l "_Toc353351890" </w:instrText>
      </w:r>
      <w:r>
        <w:fldChar w:fldCharType="separate"/>
      </w:r>
      <w:r>
        <w:rPr>
          <w:rStyle w:val="27"/>
          <w:rFonts w:ascii="宋体" w:hAnsi="宋体"/>
          <w:b/>
        </w:rPr>
        <w:t>6.3</w:t>
      </w:r>
      <w:r>
        <w:rPr>
          <w:rStyle w:val="27"/>
          <w:rFonts w:hint="eastAsia" w:ascii="宋体" w:hAnsi="宋体"/>
          <w:b/>
        </w:rPr>
        <w:t>钢筋笼制作</w:t>
      </w:r>
      <w:r>
        <w:tab/>
      </w:r>
      <w:r>
        <w:fldChar w:fldCharType="begin"/>
      </w:r>
      <w:r>
        <w:instrText xml:space="preserve"> PAGEREF _Toc353351890 \h </w:instrText>
      </w:r>
      <w:r>
        <w:fldChar w:fldCharType="separate"/>
      </w:r>
      <w:r>
        <w:t>2</w:t>
      </w:r>
      <w:r>
        <w:fldChar w:fldCharType="end"/>
      </w:r>
      <w:r>
        <w:fldChar w:fldCharType="end"/>
      </w:r>
    </w:p>
    <w:p>
      <w:pPr>
        <w:pStyle w:val="15"/>
        <w:tabs>
          <w:tab w:val="right" w:leader="dot" w:pos="8777"/>
        </w:tabs>
        <w:sectPr>
          <w:headerReference r:id="rId6" w:type="first"/>
          <w:footerReference r:id="rId8" w:type="first"/>
          <w:footerReference r:id="rId7" w:type="default"/>
          <w:pgSz w:w="11906" w:h="16838"/>
          <w:pgMar w:top="1440" w:right="1418" w:bottom="1440" w:left="1701" w:header="851" w:footer="992" w:gutter="0"/>
          <w:pgNumType w:start="1"/>
          <w:cols w:space="720" w:num="1"/>
          <w:titlePg/>
          <w:docGrid w:type="lines" w:linePitch="312" w:charSpace="0"/>
        </w:sectPr>
      </w:pPr>
    </w:p>
    <w:p>
      <w:pPr>
        <w:pStyle w:val="15"/>
        <w:tabs>
          <w:tab w:val="right" w:leader="dot" w:pos="8777"/>
        </w:tabs>
        <w:rPr>
          <w:rFonts w:ascii="Calibri" w:hAnsi="Calibri" w:cs="黑体"/>
          <w:szCs w:val="22"/>
        </w:rPr>
      </w:pPr>
      <w:r>
        <w:fldChar w:fldCharType="begin"/>
      </w:r>
      <w:r>
        <w:instrText xml:space="preserve"> HYPERLINK \l "_Toc353351891" </w:instrText>
      </w:r>
      <w:r>
        <w:fldChar w:fldCharType="separate"/>
      </w:r>
      <w:r>
        <w:rPr>
          <w:rStyle w:val="27"/>
          <w:rFonts w:ascii="宋体" w:hAnsi="宋体"/>
          <w:b/>
        </w:rPr>
        <w:t>6.4</w:t>
      </w:r>
      <w:r>
        <w:rPr>
          <w:rStyle w:val="27"/>
          <w:rFonts w:hint="eastAsia" w:ascii="宋体" w:hAnsi="宋体"/>
          <w:b/>
        </w:rPr>
        <w:t>钢筋笼的存放、运输、安装</w:t>
      </w:r>
      <w:r>
        <w:tab/>
      </w:r>
      <w:r>
        <w:fldChar w:fldCharType="begin"/>
      </w:r>
      <w:r>
        <w:instrText xml:space="preserve"> PAGEREF _Toc353351891 \h </w:instrText>
      </w:r>
      <w:r>
        <w:fldChar w:fldCharType="separate"/>
      </w:r>
      <w:r>
        <w:t>2</w:t>
      </w:r>
      <w:r>
        <w:fldChar w:fldCharType="end"/>
      </w:r>
      <w:r>
        <w:fldChar w:fldCharType="end"/>
      </w:r>
    </w:p>
    <w:p>
      <w:pPr>
        <w:pStyle w:val="15"/>
        <w:tabs>
          <w:tab w:val="right" w:leader="dot" w:pos="8777"/>
        </w:tabs>
        <w:rPr>
          <w:rFonts w:ascii="Calibri" w:hAnsi="Calibri" w:cs="黑体"/>
          <w:szCs w:val="22"/>
        </w:rPr>
      </w:pPr>
      <w:r>
        <w:fldChar w:fldCharType="begin"/>
      </w:r>
      <w:r>
        <w:instrText xml:space="preserve"> HYPERLINK \l "_Toc353351892" </w:instrText>
      </w:r>
      <w:r>
        <w:fldChar w:fldCharType="separate"/>
      </w:r>
      <w:r>
        <w:rPr>
          <w:rStyle w:val="27"/>
          <w:rFonts w:ascii="宋体" w:hAnsi="宋体"/>
          <w:b/>
        </w:rPr>
        <w:t>6.5</w:t>
      </w:r>
      <w:r>
        <w:rPr>
          <w:rStyle w:val="27"/>
          <w:rFonts w:hint="eastAsia" w:ascii="宋体" w:hAnsi="宋体"/>
          <w:b/>
        </w:rPr>
        <w:t>工艺流程：</w:t>
      </w:r>
      <w:r>
        <w:tab/>
      </w:r>
      <w:r>
        <w:fldChar w:fldCharType="begin"/>
      </w:r>
      <w:r>
        <w:instrText xml:space="preserve"> PAGEREF _Toc353351892 \h </w:instrText>
      </w:r>
      <w:r>
        <w:fldChar w:fldCharType="separate"/>
      </w:r>
      <w:r>
        <w:t>2</w:t>
      </w:r>
      <w:r>
        <w:fldChar w:fldCharType="end"/>
      </w:r>
      <w:r>
        <w:fldChar w:fldCharType="end"/>
      </w:r>
      <w:r>
        <w:t>2</w:t>
      </w:r>
    </w:p>
    <w:p>
      <w:pPr>
        <w:pStyle w:val="15"/>
        <w:tabs>
          <w:tab w:val="right" w:leader="dot" w:pos="8777"/>
        </w:tabs>
        <w:rPr>
          <w:rFonts w:ascii="Calibri" w:hAnsi="Calibri" w:cs="黑体"/>
          <w:szCs w:val="22"/>
        </w:rPr>
      </w:pPr>
      <w:r>
        <w:fldChar w:fldCharType="begin"/>
      </w:r>
      <w:r>
        <w:instrText xml:space="preserve"> HYPERLINK \l "_Toc353351893" </w:instrText>
      </w:r>
      <w:r>
        <w:fldChar w:fldCharType="separate"/>
      </w:r>
      <w:r>
        <w:rPr>
          <w:rStyle w:val="27"/>
          <w:rFonts w:ascii="宋体" w:hAnsi="宋体"/>
          <w:b/>
        </w:rPr>
        <w:t>6.6</w:t>
      </w:r>
      <w:r>
        <w:rPr>
          <w:rStyle w:val="27"/>
          <w:rFonts w:hint="eastAsia" w:ascii="宋体" w:hAnsi="宋体"/>
          <w:b/>
        </w:rPr>
        <w:t>声测管安装</w:t>
      </w:r>
      <w:r>
        <w:tab/>
      </w:r>
      <w:r>
        <w:fldChar w:fldCharType="begin"/>
      </w:r>
      <w:r>
        <w:instrText xml:space="preserve"> PAGEREF _Toc353351893 \h </w:instrText>
      </w:r>
      <w:r>
        <w:fldChar w:fldCharType="separate"/>
      </w:r>
      <w:r>
        <w:t>2</w:t>
      </w:r>
      <w:r>
        <w:fldChar w:fldCharType="end"/>
      </w:r>
      <w:r>
        <w:fldChar w:fldCharType="end"/>
      </w:r>
    </w:p>
    <w:p>
      <w:pPr>
        <w:pStyle w:val="24"/>
        <w:tabs>
          <w:tab w:val="right" w:leader="dot" w:pos="8777"/>
        </w:tabs>
        <w:rPr>
          <w:rFonts w:ascii="Calibri" w:hAnsi="Calibri" w:cs="黑体"/>
          <w:szCs w:val="22"/>
        </w:rPr>
      </w:pPr>
      <w:r>
        <w:fldChar w:fldCharType="begin"/>
      </w:r>
      <w:r>
        <w:instrText xml:space="preserve"> HYPERLINK \l "_Toc353351894" </w:instrText>
      </w:r>
      <w:r>
        <w:fldChar w:fldCharType="separate"/>
      </w:r>
      <w:r>
        <w:rPr>
          <w:rStyle w:val="27"/>
          <w:rFonts w:hint="eastAsia" w:ascii="宋体" w:hAnsi="宋体"/>
          <w:b/>
        </w:rPr>
        <w:t>第七章</w:t>
      </w:r>
      <w:r>
        <w:rPr>
          <w:rStyle w:val="27"/>
          <w:rFonts w:ascii="宋体" w:hAnsi="宋体"/>
          <w:b/>
        </w:rPr>
        <w:t xml:space="preserve"> </w:t>
      </w:r>
      <w:r>
        <w:rPr>
          <w:rStyle w:val="27"/>
          <w:rFonts w:hint="eastAsia" w:ascii="宋体" w:hAnsi="宋体"/>
          <w:b/>
        </w:rPr>
        <w:t>混凝土灌注</w:t>
      </w:r>
      <w:r>
        <w:tab/>
      </w:r>
      <w:r>
        <w:fldChar w:fldCharType="begin"/>
      </w:r>
      <w:r>
        <w:instrText xml:space="preserve"> PAGEREF _Toc353351894 \h </w:instrText>
      </w:r>
      <w:r>
        <w:fldChar w:fldCharType="separate"/>
      </w:r>
      <w:r>
        <w:t>2</w:t>
      </w:r>
      <w:r>
        <w:fldChar w:fldCharType="end"/>
      </w:r>
      <w:r>
        <w:fldChar w:fldCharType="end"/>
      </w:r>
    </w:p>
    <w:p>
      <w:pPr>
        <w:pStyle w:val="15"/>
        <w:tabs>
          <w:tab w:val="right" w:leader="dot" w:pos="8777"/>
        </w:tabs>
        <w:rPr>
          <w:rFonts w:ascii="Calibri" w:hAnsi="Calibri" w:cs="黑体"/>
          <w:szCs w:val="22"/>
        </w:rPr>
      </w:pPr>
      <w:r>
        <w:fldChar w:fldCharType="begin"/>
      </w:r>
      <w:r>
        <w:instrText xml:space="preserve"> HYPERLINK \l "_Toc353351895" </w:instrText>
      </w:r>
      <w:r>
        <w:fldChar w:fldCharType="separate"/>
      </w:r>
      <w:r>
        <w:rPr>
          <w:rStyle w:val="27"/>
          <w:rFonts w:ascii="宋体" w:hAnsi="宋体"/>
          <w:b/>
        </w:rPr>
        <w:t xml:space="preserve">7.1 </w:t>
      </w:r>
      <w:r>
        <w:rPr>
          <w:rStyle w:val="27"/>
          <w:rFonts w:hint="eastAsia" w:ascii="宋体" w:hAnsi="宋体"/>
          <w:b/>
        </w:rPr>
        <w:t>混凝土配合比</w:t>
      </w:r>
      <w:r>
        <w:tab/>
      </w:r>
      <w:r>
        <w:fldChar w:fldCharType="begin"/>
      </w:r>
      <w:r>
        <w:instrText xml:space="preserve"> PAGEREF _Toc353351895 \h </w:instrText>
      </w:r>
      <w:r>
        <w:fldChar w:fldCharType="separate"/>
      </w:r>
      <w:r>
        <w:t>2</w:t>
      </w:r>
      <w:r>
        <w:fldChar w:fldCharType="end"/>
      </w:r>
      <w:r>
        <w:fldChar w:fldCharType="end"/>
      </w:r>
    </w:p>
    <w:p>
      <w:pPr>
        <w:pStyle w:val="15"/>
        <w:tabs>
          <w:tab w:val="right" w:leader="dot" w:pos="8777"/>
        </w:tabs>
        <w:rPr>
          <w:rFonts w:ascii="Calibri" w:hAnsi="Calibri" w:cs="黑体"/>
          <w:szCs w:val="22"/>
        </w:rPr>
      </w:pPr>
      <w:r>
        <w:fldChar w:fldCharType="begin"/>
      </w:r>
      <w:r>
        <w:instrText xml:space="preserve"> HYPERLINK \l "_Toc353351896" </w:instrText>
      </w:r>
      <w:r>
        <w:fldChar w:fldCharType="separate"/>
      </w:r>
      <w:r>
        <w:rPr>
          <w:rStyle w:val="27"/>
          <w:rFonts w:ascii="宋体" w:hAnsi="宋体"/>
          <w:b/>
        </w:rPr>
        <w:t>7.2</w:t>
      </w:r>
      <w:r>
        <w:rPr>
          <w:rStyle w:val="27"/>
          <w:rFonts w:hint="eastAsia" w:ascii="宋体" w:hAnsi="宋体"/>
          <w:b/>
        </w:rPr>
        <w:t>混凝土灌注</w:t>
      </w:r>
      <w:r>
        <w:tab/>
      </w:r>
      <w:r>
        <w:fldChar w:fldCharType="begin"/>
      </w:r>
      <w:r>
        <w:instrText xml:space="preserve"> PAGEREF _Toc353351896 \h </w:instrText>
      </w:r>
      <w:r>
        <w:fldChar w:fldCharType="separate"/>
      </w:r>
      <w:r>
        <w:t>2</w:t>
      </w:r>
      <w:r>
        <w:fldChar w:fldCharType="end"/>
      </w:r>
      <w:r>
        <w:fldChar w:fldCharType="end"/>
      </w:r>
    </w:p>
    <w:p>
      <w:pPr>
        <w:pStyle w:val="15"/>
        <w:tabs>
          <w:tab w:val="right" w:leader="dot" w:pos="8777"/>
        </w:tabs>
        <w:rPr>
          <w:rFonts w:ascii="Calibri" w:hAnsi="Calibri" w:cs="黑体"/>
          <w:szCs w:val="22"/>
        </w:rPr>
      </w:pPr>
      <w:r>
        <w:fldChar w:fldCharType="begin"/>
      </w:r>
      <w:r>
        <w:instrText xml:space="preserve"> HYPERLINK \l "_Toc353351897" </w:instrText>
      </w:r>
      <w:r>
        <w:fldChar w:fldCharType="separate"/>
      </w:r>
      <w:r>
        <w:rPr>
          <w:rStyle w:val="27"/>
          <w:rFonts w:ascii="宋体" w:hAnsi="宋体"/>
          <w:b/>
        </w:rPr>
        <w:t>7.3</w:t>
      </w:r>
      <w:r>
        <w:rPr>
          <w:rStyle w:val="27"/>
          <w:rFonts w:hint="eastAsia" w:ascii="宋体" w:hAnsi="宋体"/>
          <w:b/>
        </w:rPr>
        <w:t>注意事项：</w:t>
      </w:r>
      <w:r>
        <w:tab/>
      </w:r>
      <w:r>
        <w:fldChar w:fldCharType="begin"/>
      </w:r>
      <w:r>
        <w:instrText xml:space="preserve"> PAGEREF _Toc353351897 \h </w:instrText>
      </w:r>
      <w:r>
        <w:fldChar w:fldCharType="separate"/>
      </w:r>
      <w:r>
        <w:t>2</w:t>
      </w:r>
      <w:r>
        <w:fldChar w:fldCharType="end"/>
      </w:r>
      <w:r>
        <w:fldChar w:fldCharType="end"/>
      </w:r>
    </w:p>
    <w:p>
      <w:pPr>
        <w:pStyle w:val="22"/>
        <w:rPr>
          <w:rFonts w:ascii="Calibri" w:hAnsi="Calibri" w:cs="黑体"/>
          <w:color w:val="auto"/>
          <w:szCs w:val="22"/>
        </w:rPr>
      </w:pPr>
      <w:r>
        <w:fldChar w:fldCharType="begin"/>
      </w:r>
      <w:r>
        <w:instrText xml:space="preserve"> HYPERLINK \l "_Toc353351898" </w:instrText>
      </w:r>
      <w:r>
        <w:fldChar w:fldCharType="separate"/>
      </w:r>
      <w:r>
        <w:rPr>
          <w:rStyle w:val="27"/>
          <w:rFonts w:hint="eastAsia" w:ascii="宋体" w:hAnsi="宋体"/>
          <w:b/>
          <w:bCs/>
        </w:rPr>
        <w:t>第八章</w:t>
      </w:r>
      <w:r>
        <w:rPr>
          <w:rStyle w:val="27"/>
          <w:rFonts w:ascii="宋体" w:hAnsi="宋体"/>
          <w:b/>
          <w:bCs/>
        </w:rPr>
        <w:t xml:space="preserve"> </w:t>
      </w:r>
      <w:r>
        <w:rPr>
          <w:rStyle w:val="27"/>
          <w:rFonts w:hint="eastAsia" w:ascii="宋体" w:hAnsi="宋体"/>
          <w:b/>
          <w:bCs/>
        </w:rPr>
        <w:t>钻孔桩施工质量保证措施</w:t>
      </w:r>
      <w:r>
        <w:tab/>
      </w:r>
      <w:r>
        <w:fldChar w:fldCharType="begin"/>
      </w:r>
      <w:r>
        <w:instrText xml:space="preserve"> PAGEREF _Toc353351898 \h </w:instrText>
      </w:r>
      <w:r>
        <w:fldChar w:fldCharType="separate"/>
      </w:r>
      <w:r>
        <w:t>2</w:t>
      </w:r>
      <w:r>
        <w:fldChar w:fldCharType="end"/>
      </w:r>
      <w:r>
        <w:fldChar w:fldCharType="end"/>
      </w:r>
      <w:r>
        <w:t>7</w:t>
      </w:r>
    </w:p>
    <w:p>
      <w:pPr>
        <w:pStyle w:val="24"/>
        <w:tabs>
          <w:tab w:val="right" w:leader="dot" w:pos="8777"/>
        </w:tabs>
        <w:rPr>
          <w:rFonts w:ascii="Calibri" w:hAnsi="Calibri" w:cs="黑体"/>
          <w:szCs w:val="22"/>
        </w:rPr>
      </w:pPr>
      <w:r>
        <w:fldChar w:fldCharType="begin"/>
      </w:r>
      <w:r>
        <w:instrText xml:space="preserve"> HYPERLINK \l "_Toc353351899" </w:instrText>
      </w:r>
      <w:r>
        <w:fldChar w:fldCharType="separate"/>
      </w:r>
      <w:r>
        <w:rPr>
          <w:rStyle w:val="27"/>
          <w:rFonts w:ascii="宋体" w:hAnsi="宋体"/>
          <w:b/>
        </w:rPr>
        <w:t>8.1</w:t>
      </w:r>
      <w:r>
        <w:rPr>
          <w:rStyle w:val="27"/>
          <w:rFonts w:hint="eastAsia" w:ascii="宋体" w:hAnsi="宋体"/>
          <w:b/>
        </w:rPr>
        <w:t>钻孔桩施工质量检测</w:t>
      </w:r>
      <w:r>
        <w:tab/>
      </w:r>
      <w:r>
        <w:fldChar w:fldCharType="begin"/>
      </w:r>
      <w:r>
        <w:instrText xml:space="preserve"> PAGEREF _Toc353351899 \h </w:instrText>
      </w:r>
      <w:r>
        <w:fldChar w:fldCharType="separate"/>
      </w:r>
      <w:r>
        <w:t>2</w:t>
      </w:r>
      <w:r>
        <w:fldChar w:fldCharType="end"/>
      </w:r>
      <w:r>
        <w:fldChar w:fldCharType="end"/>
      </w:r>
    </w:p>
    <w:p>
      <w:pPr>
        <w:pStyle w:val="24"/>
        <w:tabs>
          <w:tab w:val="right" w:leader="dot" w:pos="8777"/>
        </w:tabs>
        <w:rPr>
          <w:rFonts w:ascii="Calibri" w:hAnsi="Calibri" w:cs="黑体"/>
          <w:szCs w:val="22"/>
        </w:rPr>
      </w:pPr>
      <w:r>
        <w:fldChar w:fldCharType="begin"/>
      </w:r>
      <w:r>
        <w:instrText xml:space="preserve"> HYPERLINK \l "_Toc353351900" </w:instrText>
      </w:r>
      <w:r>
        <w:fldChar w:fldCharType="separate"/>
      </w:r>
      <w:r>
        <w:rPr>
          <w:rStyle w:val="27"/>
          <w:rFonts w:ascii="宋体" w:hAnsi="宋体"/>
          <w:b/>
        </w:rPr>
        <w:t>8.2</w:t>
      </w:r>
      <w:r>
        <w:rPr>
          <w:rStyle w:val="27"/>
          <w:rFonts w:hint="eastAsia" w:ascii="宋体" w:hAnsi="宋体"/>
          <w:b/>
        </w:rPr>
        <w:t>工程质量目标</w:t>
      </w:r>
      <w:r>
        <w:tab/>
      </w:r>
      <w:r>
        <w:fldChar w:fldCharType="begin"/>
      </w:r>
      <w:r>
        <w:instrText xml:space="preserve"> PAGEREF _Toc353351900 \h </w:instrText>
      </w:r>
      <w:r>
        <w:fldChar w:fldCharType="separate"/>
      </w:r>
      <w:r>
        <w:t>2</w:t>
      </w:r>
      <w:r>
        <w:fldChar w:fldCharType="end"/>
      </w:r>
      <w:r>
        <w:fldChar w:fldCharType="end"/>
      </w:r>
    </w:p>
    <w:p>
      <w:pPr>
        <w:pStyle w:val="15"/>
        <w:tabs>
          <w:tab w:val="right" w:leader="dot" w:pos="8777"/>
        </w:tabs>
        <w:rPr>
          <w:rFonts w:ascii="Calibri" w:hAnsi="Calibri" w:cs="黑体"/>
          <w:szCs w:val="22"/>
        </w:rPr>
      </w:pPr>
      <w:r>
        <w:fldChar w:fldCharType="begin"/>
      </w:r>
      <w:r>
        <w:instrText xml:space="preserve"> HYPERLINK \l "_Toc353351901" </w:instrText>
      </w:r>
      <w:r>
        <w:fldChar w:fldCharType="separate"/>
      </w:r>
      <w:r>
        <w:rPr>
          <w:rStyle w:val="27"/>
          <w:rFonts w:ascii="宋体" w:hAnsi="宋体"/>
          <w:b/>
        </w:rPr>
        <w:t xml:space="preserve">8.2.1 </w:t>
      </w:r>
      <w:r>
        <w:rPr>
          <w:rStyle w:val="27"/>
          <w:rFonts w:hint="eastAsia" w:ascii="宋体" w:hAnsi="宋体"/>
          <w:b/>
        </w:rPr>
        <w:t>质量目标</w:t>
      </w:r>
      <w:r>
        <w:tab/>
      </w:r>
      <w:r>
        <w:fldChar w:fldCharType="begin"/>
      </w:r>
      <w:r>
        <w:instrText xml:space="preserve"> PAGEREF _Toc353351901 \h </w:instrText>
      </w:r>
      <w:r>
        <w:fldChar w:fldCharType="separate"/>
      </w:r>
      <w:r>
        <w:t>2</w:t>
      </w:r>
      <w:r>
        <w:fldChar w:fldCharType="end"/>
      </w:r>
      <w:r>
        <w:fldChar w:fldCharType="end"/>
      </w:r>
    </w:p>
    <w:p>
      <w:pPr>
        <w:pStyle w:val="15"/>
        <w:tabs>
          <w:tab w:val="right" w:leader="dot" w:pos="8777"/>
        </w:tabs>
        <w:rPr>
          <w:rFonts w:ascii="Calibri" w:hAnsi="Calibri" w:cs="黑体"/>
          <w:szCs w:val="22"/>
        </w:rPr>
      </w:pPr>
      <w:r>
        <w:fldChar w:fldCharType="begin"/>
      </w:r>
      <w:r>
        <w:instrText xml:space="preserve"> HYPERLINK \l "_Toc353351902" </w:instrText>
      </w:r>
      <w:r>
        <w:fldChar w:fldCharType="separate"/>
      </w:r>
      <w:r>
        <w:rPr>
          <w:rStyle w:val="27"/>
          <w:rFonts w:ascii="宋体" w:hAnsi="宋体"/>
          <w:b/>
        </w:rPr>
        <w:t>8.2.2</w:t>
      </w:r>
      <w:r>
        <w:rPr>
          <w:rStyle w:val="27"/>
          <w:rFonts w:hint="eastAsia" w:ascii="宋体" w:hAnsi="宋体"/>
          <w:b/>
        </w:rPr>
        <w:t>创优方针</w:t>
      </w:r>
      <w:r>
        <w:tab/>
      </w:r>
      <w:r>
        <w:fldChar w:fldCharType="begin"/>
      </w:r>
      <w:r>
        <w:instrText xml:space="preserve"> PAGEREF _Toc353351902 \h </w:instrText>
      </w:r>
      <w:r>
        <w:fldChar w:fldCharType="separate"/>
      </w:r>
      <w:r>
        <w:t>2</w:t>
      </w:r>
      <w:r>
        <w:fldChar w:fldCharType="end"/>
      </w:r>
      <w:r>
        <w:fldChar w:fldCharType="end"/>
      </w:r>
    </w:p>
    <w:p>
      <w:pPr>
        <w:pStyle w:val="24"/>
        <w:tabs>
          <w:tab w:val="right" w:leader="dot" w:pos="8777"/>
        </w:tabs>
        <w:rPr>
          <w:rFonts w:ascii="Calibri" w:hAnsi="Calibri" w:cs="黑体"/>
          <w:szCs w:val="22"/>
        </w:rPr>
      </w:pPr>
      <w:r>
        <w:fldChar w:fldCharType="begin"/>
      </w:r>
      <w:r>
        <w:instrText xml:space="preserve"> HYPERLINK \l "_Toc353351903" </w:instrText>
      </w:r>
      <w:r>
        <w:fldChar w:fldCharType="separate"/>
      </w:r>
      <w:r>
        <w:rPr>
          <w:rStyle w:val="27"/>
          <w:rFonts w:ascii="宋体" w:hAnsi="宋体"/>
          <w:b/>
        </w:rPr>
        <w:t>8.3</w:t>
      </w:r>
      <w:r>
        <w:rPr>
          <w:rStyle w:val="27"/>
          <w:rFonts w:hint="eastAsia" w:ascii="宋体" w:hAnsi="宋体"/>
          <w:b/>
        </w:rPr>
        <w:t>质量保证体系</w:t>
      </w:r>
      <w:r>
        <w:tab/>
      </w:r>
      <w:r>
        <w:fldChar w:fldCharType="begin"/>
      </w:r>
      <w:r>
        <w:instrText xml:space="preserve"> PAGEREF _Toc353351903 \h </w:instrText>
      </w:r>
      <w:r>
        <w:fldChar w:fldCharType="separate"/>
      </w:r>
      <w:r>
        <w:t>2</w:t>
      </w:r>
      <w:r>
        <w:fldChar w:fldCharType="end"/>
      </w:r>
      <w:r>
        <w:fldChar w:fldCharType="end"/>
      </w:r>
    </w:p>
    <w:p>
      <w:pPr>
        <w:pStyle w:val="22"/>
        <w:rPr>
          <w:rFonts w:ascii="Calibri" w:hAnsi="Calibri" w:cs="黑体"/>
          <w:color w:val="auto"/>
          <w:szCs w:val="22"/>
        </w:rPr>
      </w:pPr>
      <w:r>
        <w:fldChar w:fldCharType="begin"/>
      </w:r>
      <w:r>
        <w:instrText xml:space="preserve"> HYPERLINK \l "_Toc353351904" </w:instrText>
      </w:r>
      <w:r>
        <w:fldChar w:fldCharType="separate"/>
      </w:r>
      <w:r>
        <w:rPr>
          <w:rStyle w:val="27"/>
          <w:rFonts w:hint="eastAsia" w:ascii="宋体" w:hAnsi="宋体"/>
          <w:b/>
          <w:bCs/>
        </w:rPr>
        <w:t>第九章</w:t>
      </w:r>
      <w:r>
        <w:rPr>
          <w:rStyle w:val="27"/>
          <w:rFonts w:ascii="宋体" w:hAnsi="宋体"/>
          <w:b/>
          <w:bCs/>
        </w:rPr>
        <w:t xml:space="preserve"> </w:t>
      </w:r>
      <w:r>
        <w:rPr>
          <w:rStyle w:val="27"/>
          <w:rFonts w:hint="eastAsia" w:ascii="宋体" w:hAnsi="宋体"/>
          <w:b/>
          <w:bCs/>
        </w:rPr>
        <w:t>安全施工措施</w:t>
      </w:r>
      <w:r>
        <w:tab/>
      </w:r>
      <w:r>
        <w:fldChar w:fldCharType="begin"/>
      </w:r>
      <w:r>
        <w:instrText xml:space="preserve"> PAGEREF _Toc353351904 \h </w:instrText>
      </w:r>
      <w:r>
        <w:fldChar w:fldCharType="separate"/>
      </w:r>
      <w:r>
        <w:t>2</w:t>
      </w:r>
      <w:r>
        <w:fldChar w:fldCharType="end"/>
      </w:r>
      <w:r>
        <w:fldChar w:fldCharType="end"/>
      </w:r>
    </w:p>
    <w:p>
      <w:pPr>
        <w:pStyle w:val="24"/>
        <w:tabs>
          <w:tab w:val="right" w:leader="dot" w:pos="8777"/>
        </w:tabs>
        <w:rPr>
          <w:rFonts w:ascii="Calibri" w:hAnsi="Calibri" w:cs="黑体"/>
          <w:szCs w:val="22"/>
        </w:rPr>
      </w:pPr>
      <w:r>
        <w:fldChar w:fldCharType="begin"/>
      </w:r>
      <w:r>
        <w:instrText xml:space="preserve"> HYPERLINK \l "_Toc353351905" </w:instrText>
      </w:r>
      <w:r>
        <w:fldChar w:fldCharType="separate"/>
      </w:r>
      <w:r>
        <w:rPr>
          <w:rStyle w:val="27"/>
          <w:rFonts w:ascii="宋体" w:hAnsi="宋体"/>
          <w:b/>
        </w:rPr>
        <w:t>9.1</w:t>
      </w:r>
      <w:r>
        <w:rPr>
          <w:rStyle w:val="27"/>
          <w:rFonts w:hint="eastAsia" w:ascii="宋体" w:hAnsi="宋体"/>
          <w:b/>
        </w:rPr>
        <w:t>安全施工</w:t>
      </w:r>
      <w:r>
        <w:tab/>
      </w:r>
      <w:r>
        <w:fldChar w:fldCharType="begin"/>
      </w:r>
      <w:r>
        <w:instrText xml:space="preserve"> PAGEREF _Toc353351905 \h </w:instrText>
      </w:r>
      <w:r>
        <w:fldChar w:fldCharType="separate"/>
      </w:r>
      <w:r>
        <w:t>2</w:t>
      </w:r>
      <w:r>
        <w:fldChar w:fldCharType="end"/>
      </w:r>
      <w:r>
        <w:fldChar w:fldCharType="end"/>
      </w:r>
    </w:p>
    <w:p>
      <w:pPr>
        <w:pStyle w:val="15"/>
        <w:tabs>
          <w:tab w:val="right" w:leader="dot" w:pos="8777"/>
        </w:tabs>
        <w:rPr>
          <w:rFonts w:ascii="Calibri" w:hAnsi="Calibri" w:cs="黑体"/>
          <w:szCs w:val="22"/>
        </w:rPr>
      </w:pPr>
      <w:r>
        <w:fldChar w:fldCharType="begin"/>
      </w:r>
      <w:r>
        <w:instrText xml:space="preserve"> HYPERLINK \l "_Toc353351906" </w:instrText>
      </w:r>
      <w:r>
        <w:fldChar w:fldCharType="separate"/>
      </w:r>
      <w:r>
        <w:rPr>
          <w:rStyle w:val="27"/>
          <w:rFonts w:ascii="宋体" w:hAnsi="宋体"/>
          <w:b/>
        </w:rPr>
        <w:t>9.1.1</w:t>
      </w:r>
      <w:r>
        <w:rPr>
          <w:rStyle w:val="27"/>
          <w:rFonts w:hint="eastAsia" w:ascii="宋体" w:hAnsi="宋体"/>
          <w:b/>
        </w:rPr>
        <w:t>安全目标</w:t>
      </w:r>
      <w:r>
        <w:tab/>
      </w:r>
      <w:r>
        <w:fldChar w:fldCharType="begin"/>
      </w:r>
      <w:r>
        <w:instrText xml:space="preserve"> PAGEREF _Toc353351906 \h </w:instrText>
      </w:r>
      <w:r>
        <w:fldChar w:fldCharType="separate"/>
      </w:r>
      <w:r>
        <w:t>2</w:t>
      </w:r>
      <w:r>
        <w:fldChar w:fldCharType="end"/>
      </w:r>
      <w:r>
        <w:fldChar w:fldCharType="end"/>
      </w:r>
    </w:p>
    <w:p>
      <w:pPr>
        <w:pStyle w:val="15"/>
        <w:tabs>
          <w:tab w:val="right" w:leader="dot" w:pos="8777"/>
        </w:tabs>
        <w:rPr>
          <w:rFonts w:ascii="Calibri" w:hAnsi="Calibri" w:cs="黑体"/>
          <w:szCs w:val="22"/>
        </w:rPr>
      </w:pPr>
      <w:r>
        <w:fldChar w:fldCharType="begin"/>
      </w:r>
      <w:r>
        <w:instrText xml:space="preserve"> HYPERLINK \l "_Toc353351907" </w:instrText>
      </w:r>
      <w:r>
        <w:fldChar w:fldCharType="separate"/>
      </w:r>
      <w:r>
        <w:rPr>
          <w:rStyle w:val="27"/>
          <w:rFonts w:ascii="宋体" w:hAnsi="宋体"/>
          <w:b/>
        </w:rPr>
        <w:t>9.1.2</w:t>
      </w:r>
      <w:r>
        <w:rPr>
          <w:rStyle w:val="27"/>
          <w:rFonts w:hint="eastAsia" w:ascii="宋体" w:hAnsi="宋体"/>
          <w:b/>
        </w:rPr>
        <w:t>安全保证体系</w:t>
      </w:r>
      <w:r>
        <w:tab/>
      </w:r>
      <w:r>
        <w:fldChar w:fldCharType="begin"/>
      </w:r>
      <w:r>
        <w:instrText xml:space="preserve"> PAGEREF _Toc353351907 \h </w:instrText>
      </w:r>
      <w:r>
        <w:fldChar w:fldCharType="separate"/>
      </w:r>
      <w:r>
        <w:t>2</w:t>
      </w:r>
      <w:r>
        <w:fldChar w:fldCharType="end"/>
      </w:r>
      <w:r>
        <w:fldChar w:fldCharType="end"/>
      </w:r>
    </w:p>
    <w:p>
      <w:pPr>
        <w:pStyle w:val="15"/>
        <w:tabs>
          <w:tab w:val="right" w:leader="dot" w:pos="8777"/>
        </w:tabs>
        <w:rPr>
          <w:rFonts w:ascii="Calibri" w:hAnsi="Calibri" w:cs="黑体"/>
          <w:szCs w:val="22"/>
        </w:rPr>
      </w:pPr>
      <w:r>
        <w:fldChar w:fldCharType="begin"/>
      </w:r>
      <w:r>
        <w:instrText xml:space="preserve"> HYPERLINK \l "_Toc353351908" </w:instrText>
      </w:r>
      <w:r>
        <w:fldChar w:fldCharType="separate"/>
      </w:r>
      <w:r>
        <w:rPr>
          <w:rStyle w:val="27"/>
          <w:rFonts w:ascii="宋体" w:hAnsi="宋体"/>
          <w:b/>
        </w:rPr>
        <w:t>9.1.3</w:t>
      </w:r>
      <w:r>
        <w:rPr>
          <w:rStyle w:val="27"/>
          <w:rFonts w:hint="eastAsia" w:ascii="宋体" w:hAnsi="宋体"/>
          <w:b/>
        </w:rPr>
        <w:t>安全保证措施</w:t>
      </w:r>
      <w:r>
        <w:tab/>
      </w:r>
      <w:r>
        <w:fldChar w:fldCharType="begin"/>
      </w:r>
      <w:r>
        <w:instrText xml:space="preserve"> PAGEREF _Toc353351908 \h </w:instrText>
      </w:r>
      <w:r>
        <w:fldChar w:fldCharType="separate"/>
      </w:r>
      <w:r>
        <w:t>2</w:t>
      </w:r>
      <w:r>
        <w:fldChar w:fldCharType="end"/>
      </w:r>
      <w:r>
        <w:fldChar w:fldCharType="end"/>
      </w:r>
    </w:p>
    <w:p>
      <w:pPr>
        <w:pStyle w:val="24"/>
        <w:tabs>
          <w:tab w:val="right" w:leader="dot" w:pos="8777"/>
        </w:tabs>
        <w:rPr>
          <w:rFonts w:ascii="Calibri" w:hAnsi="Calibri" w:cs="黑体"/>
          <w:szCs w:val="22"/>
        </w:rPr>
      </w:pPr>
      <w:r>
        <w:fldChar w:fldCharType="begin"/>
      </w:r>
      <w:r>
        <w:instrText xml:space="preserve"> HYPERLINK \l "_Toc353351909" </w:instrText>
      </w:r>
      <w:r>
        <w:fldChar w:fldCharType="separate"/>
      </w:r>
      <w:r>
        <w:rPr>
          <w:rStyle w:val="27"/>
          <w:rFonts w:ascii="宋体" w:hAnsi="宋体"/>
          <w:b/>
        </w:rPr>
        <w:t xml:space="preserve">9.2 </w:t>
      </w:r>
      <w:r>
        <w:rPr>
          <w:rStyle w:val="27"/>
          <w:rFonts w:hint="eastAsia" w:ascii="宋体" w:hAnsi="宋体"/>
          <w:b/>
        </w:rPr>
        <w:t>地下管线及其他地下设施的加固措施</w:t>
      </w:r>
      <w:r>
        <w:tab/>
      </w:r>
      <w:r>
        <w:t>3</w:t>
      </w:r>
      <w:r>
        <w:fldChar w:fldCharType="end"/>
      </w:r>
      <w:r>
        <w:t>0</w:t>
      </w:r>
    </w:p>
    <w:p>
      <w:pPr>
        <w:pStyle w:val="24"/>
        <w:tabs>
          <w:tab w:val="right" w:leader="dot" w:pos="8777"/>
        </w:tabs>
        <w:rPr>
          <w:rFonts w:ascii="Calibri" w:hAnsi="Calibri" w:cs="黑体"/>
          <w:szCs w:val="22"/>
        </w:rPr>
      </w:pPr>
      <w:r>
        <w:fldChar w:fldCharType="begin"/>
      </w:r>
      <w:r>
        <w:instrText xml:space="preserve"> HYPERLINK \l "_Toc353351910" </w:instrText>
      </w:r>
      <w:r>
        <w:fldChar w:fldCharType="separate"/>
      </w:r>
      <w:r>
        <w:rPr>
          <w:rStyle w:val="27"/>
          <w:rFonts w:ascii="宋体" w:hAnsi="宋体"/>
          <w:b/>
        </w:rPr>
        <w:t>9.3</w:t>
      </w:r>
      <w:r>
        <w:rPr>
          <w:rStyle w:val="27"/>
          <w:rFonts w:hint="eastAsia" w:ascii="宋体" w:hAnsi="宋体"/>
          <w:b/>
        </w:rPr>
        <w:t>泥浆池制备安全施工</w:t>
      </w:r>
      <w:r>
        <w:tab/>
      </w:r>
      <w:r>
        <w:t>3</w:t>
      </w:r>
      <w:r>
        <w:fldChar w:fldCharType="end"/>
      </w:r>
      <w:r>
        <w:t>0</w:t>
      </w:r>
    </w:p>
    <w:p>
      <w:pPr>
        <w:pStyle w:val="24"/>
        <w:tabs>
          <w:tab w:val="right" w:leader="dot" w:pos="8777"/>
        </w:tabs>
        <w:rPr>
          <w:rFonts w:ascii="Calibri" w:hAnsi="Calibri" w:cs="黑体"/>
          <w:szCs w:val="22"/>
        </w:rPr>
      </w:pPr>
      <w:r>
        <w:fldChar w:fldCharType="begin"/>
      </w:r>
      <w:r>
        <w:instrText xml:space="preserve"> HYPERLINK \l "_Toc353351911" </w:instrText>
      </w:r>
      <w:r>
        <w:fldChar w:fldCharType="separate"/>
      </w:r>
      <w:r>
        <w:rPr>
          <w:rStyle w:val="27"/>
          <w:rFonts w:hint="eastAsia" w:ascii="宋体" w:hAnsi="宋体"/>
          <w:b/>
        </w:rPr>
        <w:t>第十章</w:t>
      </w:r>
      <w:r>
        <w:rPr>
          <w:rStyle w:val="27"/>
          <w:rFonts w:ascii="宋体" w:hAnsi="宋体"/>
          <w:b/>
        </w:rPr>
        <w:t xml:space="preserve"> </w:t>
      </w:r>
      <w:r>
        <w:rPr>
          <w:rStyle w:val="27"/>
          <w:rFonts w:hint="eastAsia" w:ascii="宋体" w:hAnsi="宋体"/>
          <w:b/>
        </w:rPr>
        <w:t>环保文明施工管理措施</w:t>
      </w:r>
      <w:r>
        <w:tab/>
      </w:r>
      <w:r>
        <w:fldChar w:fldCharType="begin"/>
      </w:r>
      <w:r>
        <w:instrText xml:space="preserve"> PAGEREF _Toc353351911 \h </w:instrText>
      </w:r>
      <w:r>
        <w:fldChar w:fldCharType="separate"/>
      </w:r>
      <w:r>
        <w:t>2</w:t>
      </w:r>
      <w:r>
        <w:fldChar w:fldCharType="end"/>
      </w:r>
      <w:r>
        <w:fldChar w:fldCharType="end"/>
      </w:r>
    </w:p>
    <w:p>
      <w:pPr>
        <w:pStyle w:val="24"/>
        <w:tabs>
          <w:tab w:val="right" w:leader="dot" w:pos="8777"/>
        </w:tabs>
        <w:rPr>
          <w:rFonts w:ascii="Calibri" w:hAnsi="Calibri" w:cs="黑体"/>
          <w:szCs w:val="22"/>
        </w:rPr>
      </w:pPr>
      <w:r>
        <w:fldChar w:fldCharType="begin"/>
      </w:r>
      <w:r>
        <w:instrText xml:space="preserve"> HYPERLINK \l "_Toc353351912" </w:instrText>
      </w:r>
      <w:r>
        <w:fldChar w:fldCharType="separate"/>
      </w:r>
      <w:r>
        <w:rPr>
          <w:rStyle w:val="27"/>
          <w:rFonts w:ascii="宋体" w:hAnsi="宋体"/>
          <w:b/>
        </w:rPr>
        <w:t>10.1</w:t>
      </w:r>
      <w:r>
        <w:rPr>
          <w:rStyle w:val="27"/>
          <w:rFonts w:hint="eastAsia" w:ascii="宋体" w:hAnsi="宋体"/>
          <w:b/>
        </w:rPr>
        <w:t>文明施工管理措施</w:t>
      </w:r>
      <w:r>
        <w:tab/>
      </w:r>
      <w:r>
        <w:fldChar w:fldCharType="begin"/>
      </w:r>
      <w:r>
        <w:instrText xml:space="preserve"> PAGEREF _Toc353351912 \h </w:instrText>
      </w:r>
      <w:r>
        <w:fldChar w:fldCharType="separate"/>
      </w:r>
      <w:r>
        <w:t>2</w:t>
      </w:r>
      <w:r>
        <w:fldChar w:fldCharType="end"/>
      </w:r>
      <w:r>
        <w:fldChar w:fldCharType="end"/>
      </w:r>
    </w:p>
    <w:p>
      <w:pPr>
        <w:pStyle w:val="24"/>
        <w:tabs>
          <w:tab w:val="right" w:leader="dot" w:pos="8777"/>
        </w:tabs>
        <w:rPr>
          <w:rFonts w:ascii="Calibri" w:hAnsi="Calibri" w:cs="黑体"/>
          <w:szCs w:val="22"/>
        </w:rPr>
      </w:pPr>
      <w:r>
        <w:fldChar w:fldCharType="begin"/>
      </w:r>
      <w:r>
        <w:instrText xml:space="preserve"> HYPERLINK \l "_Toc353351914" </w:instrText>
      </w:r>
      <w:r>
        <w:fldChar w:fldCharType="separate"/>
      </w:r>
      <w:r>
        <w:rPr>
          <w:rStyle w:val="27"/>
          <w:rFonts w:ascii="宋体" w:hAnsi="宋体"/>
          <w:b/>
        </w:rPr>
        <w:t>10.2</w:t>
      </w:r>
      <w:r>
        <w:rPr>
          <w:rStyle w:val="27"/>
          <w:rFonts w:hint="eastAsia" w:ascii="宋体" w:hAnsi="宋体"/>
          <w:b/>
        </w:rPr>
        <w:t>环境保护</w:t>
      </w:r>
      <w:r>
        <w:tab/>
      </w:r>
      <w:r>
        <w:fldChar w:fldCharType="begin"/>
      </w:r>
      <w:r>
        <w:instrText xml:space="preserve"> PAGEREF _Toc353351914 \h </w:instrText>
      </w:r>
      <w:r>
        <w:fldChar w:fldCharType="separate"/>
      </w:r>
      <w:r>
        <w:t>2</w:t>
      </w:r>
      <w:r>
        <w:fldChar w:fldCharType="end"/>
      </w:r>
      <w:r>
        <w:fldChar w:fldCharType="end"/>
      </w:r>
    </w:p>
    <w:p>
      <w:pPr>
        <w:pStyle w:val="15"/>
        <w:tabs>
          <w:tab w:val="right" w:leader="dot" w:pos="8777"/>
        </w:tabs>
        <w:rPr>
          <w:rFonts w:ascii="Calibri" w:hAnsi="Calibri" w:cs="黑体"/>
          <w:szCs w:val="22"/>
        </w:rPr>
      </w:pPr>
      <w:r>
        <w:fldChar w:fldCharType="begin"/>
      </w:r>
      <w:r>
        <w:instrText xml:space="preserve"> HYPERLINK \l "_Toc353351915" </w:instrText>
      </w:r>
      <w:r>
        <w:fldChar w:fldCharType="separate"/>
      </w:r>
      <w:r>
        <w:rPr>
          <w:rStyle w:val="27"/>
          <w:rFonts w:ascii="宋体" w:hAnsi="宋体"/>
          <w:b/>
        </w:rPr>
        <w:t>10.2.1</w:t>
      </w:r>
      <w:r>
        <w:rPr>
          <w:rStyle w:val="27"/>
          <w:rFonts w:hint="eastAsia" w:ascii="宋体" w:hAnsi="宋体"/>
          <w:b/>
        </w:rPr>
        <w:t>设置环保机构</w:t>
      </w:r>
      <w:r>
        <w:tab/>
      </w:r>
      <w:r>
        <w:fldChar w:fldCharType="begin"/>
      </w:r>
      <w:r>
        <w:instrText xml:space="preserve"> PAGEREF _Toc353351915 \h </w:instrText>
      </w:r>
      <w:r>
        <w:fldChar w:fldCharType="separate"/>
      </w:r>
      <w:r>
        <w:t>2</w:t>
      </w:r>
      <w:r>
        <w:fldChar w:fldCharType="end"/>
      </w:r>
      <w:r>
        <w:fldChar w:fldCharType="end"/>
      </w:r>
    </w:p>
    <w:p>
      <w:pPr>
        <w:pStyle w:val="15"/>
        <w:tabs>
          <w:tab w:val="right" w:leader="dot" w:pos="8777"/>
        </w:tabs>
        <w:rPr>
          <w:rFonts w:ascii="Calibri" w:hAnsi="Calibri" w:cs="黑体"/>
          <w:szCs w:val="22"/>
        </w:rPr>
      </w:pPr>
      <w:r>
        <w:fldChar w:fldCharType="begin"/>
      </w:r>
      <w:r>
        <w:instrText xml:space="preserve"> HYPERLINK \l "_Toc353351916" </w:instrText>
      </w:r>
      <w:r>
        <w:fldChar w:fldCharType="separate"/>
      </w:r>
      <w:r>
        <w:rPr>
          <w:rStyle w:val="27"/>
          <w:rFonts w:ascii="宋体" w:hAnsi="宋体"/>
          <w:b/>
        </w:rPr>
        <w:t>10.2.2</w:t>
      </w:r>
      <w:r>
        <w:rPr>
          <w:rStyle w:val="27"/>
          <w:rFonts w:hint="eastAsia" w:ascii="宋体" w:hAnsi="宋体"/>
          <w:b/>
        </w:rPr>
        <w:t>重视环保工作</w:t>
      </w:r>
      <w:r>
        <w:tab/>
      </w:r>
      <w:r>
        <w:fldChar w:fldCharType="begin"/>
      </w:r>
      <w:r>
        <w:instrText xml:space="preserve"> PAGEREF _Toc353351916 \h </w:instrText>
      </w:r>
      <w:r>
        <w:fldChar w:fldCharType="separate"/>
      </w:r>
      <w:r>
        <w:t>2</w:t>
      </w:r>
      <w:r>
        <w:fldChar w:fldCharType="end"/>
      </w:r>
      <w:r>
        <w:fldChar w:fldCharType="end"/>
      </w:r>
    </w:p>
    <w:p>
      <w:pPr>
        <w:pStyle w:val="15"/>
        <w:tabs>
          <w:tab w:val="right" w:leader="dot" w:pos="8777"/>
        </w:tabs>
        <w:rPr>
          <w:rFonts w:ascii="Calibri" w:hAnsi="Calibri" w:cs="黑体"/>
          <w:szCs w:val="22"/>
        </w:rPr>
      </w:pPr>
      <w:r>
        <w:fldChar w:fldCharType="begin"/>
      </w:r>
      <w:r>
        <w:instrText xml:space="preserve"> HYPERLINK \l "_Toc353351917" </w:instrText>
      </w:r>
      <w:r>
        <w:fldChar w:fldCharType="separate"/>
      </w:r>
      <w:r>
        <w:rPr>
          <w:rStyle w:val="27"/>
          <w:rFonts w:ascii="宋体" w:hAnsi="宋体"/>
          <w:b/>
        </w:rPr>
        <w:t>10.2.3</w:t>
      </w:r>
      <w:r>
        <w:rPr>
          <w:rStyle w:val="27"/>
          <w:rFonts w:hint="eastAsia" w:ascii="宋体" w:hAnsi="宋体"/>
          <w:b/>
        </w:rPr>
        <w:t>加强环保学习和宣传</w:t>
      </w:r>
      <w:r>
        <w:tab/>
      </w:r>
      <w:r>
        <w:fldChar w:fldCharType="begin"/>
      </w:r>
      <w:r>
        <w:instrText xml:space="preserve"> PAGEREF _Toc353351917 \h </w:instrText>
      </w:r>
      <w:r>
        <w:fldChar w:fldCharType="separate"/>
      </w:r>
      <w:r>
        <w:t>2</w:t>
      </w:r>
      <w:r>
        <w:fldChar w:fldCharType="end"/>
      </w:r>
      <w:r>
        <w:fldChar w:fldCharType="end"/>
      </w:r>
    </w:p>
    <w:p>
      <w:pPr>
        <w:spacing w:line="360" w:lineRule="auto"/>
        <w:jc w:val="center"/>
        <w:rPr>
          <w:rFonts w:ascii="宋体"/>
          <w:bCs/>
          <w:sz w:val="24"/>
        </w:rPr>
      </w:pPr>
      <w:r>
        <w:rPr>
          <w:rFonts w:ascii="宋体" w:hAnsi="宋体"/>
          <w:bCs/>
          <w:sz w:val="24"/>
        </w:rPr>
        <w:fldChar w:fldCharType="end"/>
      </w:r>
    </w:p>
    <w:p>
      <w:pPr>
        <w:pStyle w:val="3"/>
        <w:spacing w:line="360" w:lineRule="auto"/>
        <w:rPr>
          <w:rFonts w:ascii="宋体" w:hAnsi="宋体" w:eastAsia="宋体" w:cs="宋体"/>
          <w:b/>
          <w:bCs w:val="0"/>
          <w:sz w:val="32"/>
          <w:szCs w:val="32"/>
        </w:rPr>
      </w:pPr>
      <w:bookmarkStart w:id="0" w:name="_Ref350517200"/>
      <w:bookmarkStart w:id="1" w:name="_Toc350517622"/>
      <w:bookmarkStart w:id="2" w:name="_Toc353351850"/>
    </w:p>
    <w:p>
      <w:pPr>
        <w:rPr>
          <w:rFonts w:ascii="宋体" w:cs="宋体"/>
          <w:b/>
          <w:sz w:val="32"/>
          <w:szCs w:val="32"/>
        </w:rPr>
      </w:pPr>
    </w:p>
    <w:p>
      <w:pPr>
        <w:rPr>
          <w:rFonts w:ascii="宋体" w:cs="宋体"/>
          <w:b/>
          <w:sz w:val="32"/>
          <w:szCs w:val="32"/>
        </w:rPr>
      </w:pPr>
    </w:p>
    <w:p>
      <w:pPr>
        <w:rPr>
          <w:rFonts w:ascii="宋体" w:cs="宋体"/>
          <w:b/>
          <w:sz w:val="32"/>
          <w:szCs w:val="32"/>
        </w:rPr>
      </w:pPr>
    </w:p>
    <w:p>
      <w:pPr>
        <w:rPr>
          <w:rFonts w:ascii="宋体" w:cs="宋体"/>
          <w:b/>
          <w:sz w:val="32"/>
          <w:szCs w:val="32"/>
        </w:rPr>
      </w:pPr>
    </w:p>
    <w:p>
      <w:pPr>
        <w:rPr>
          <w:rFonts w:ascii="宋体" w:cs="宋体"/>
          <w:b/>
          <w:sz w:val="32"/>
          <w:szCs w:val="32"/>
        </w:rPr>
      </w:pPr>
    </w:p>
    <w:p>
      <w:pPr>
        <w:rPr>
          <w:rFonts w:ascii="宋体" w:cs="宋体"/>
          <w:b/>
          <w:sz w:val="32"/>
          <w:szCs w:val="32"/>
        </w:rPr>
      </w:pPr>
      <w:r>
        <w:rPr>
          <w:rFonts w:ascii="宋体" w:cs="宋体"/>
          <w:b/>
          <w:sz w:val="32"/>
          <w:szCs w:val="32"/>
        </w:rPr>
        <w:br w:type="page"/>
      </w:r>
    </w:p>
    <w:p>
      <w:pPr>
        <w:pStyle w:val="3"/>
        <w:spacing w:line="360" w:lineRule="auto"/>
        <w:jc w:val="center"/>
        <w:rPr>
          <w:rFonts w:ascii="宋体" w:hAnsi="宋体" w:eastAsia="宋体" w:cs="宋体"/>
          <w:b/>
          <w:bCs w:val="0"/>
          <w:sz w:val="32"/>
          <w:szCs w:val="32"/>
        </w:rPr>
      </w:pPr>
      <w:r>
        <w:rPr>
          <w:rFonts w:hint="eastAsia" w:ascii="宋体" w:hAnsi="宋体" w:eastAsia="宋体" w:cs="宋体"/>
          <w:b/>
          <w:bCs w:val="0"/>
          <w:sz w:val="32"/>
          <w:szCs w:val="32"/>
        </w:rPr>
        <w:t>第一章</w:t>
      </w:r>
      <w:r>
        <w:rPr>
          <w:rFonts w:ascii="宋体" w:hAnsi="宋体" w:eastAsia="宋体" w:cs="宋体"/>
          <w:b/>
          <w:bCs w:val="0"/>
          <w:sz w:val="32"/>
          <w:szCs w:val="32"/>
        </w:rPr>
        <w:t xml:space="preserve">  </w:t>
      </w:r>
      <w:r>
        <w:rPr>
          <w:rFonts w:hint="eastAsia" w:ascii="宋体" w:hAnsi="宋体" w:eastAsia="宋体" w:cs="宋体"/>
          <w:b/>
          <w:bCs w:val="0"/>
          <w:sz w:val="32"/>
          <w:szCs w:val="32"/>
        </w:rPr>
        <w:t>概</w:t>
      </w:r>
      <w:r>
        <w:rPr>
          <w:rFonts w:ascii="宋体" w:hAnsi="宋体" w:eastAsia="宋体" w:cs="宋体"/>
          <w:b/>
          <w:bCs w:val="0"/>
          <w:sz w:val="32"/>
          <w:szCs w:val="32"/>
        </w:rPr>
        <w:t xml:space="preserve">  </w:t>
      </w:r>
      <w:r>
        <w:rPr>
          <w:rFonts w:hint="eastAsia" w:ascii="宋体" w:hAnsi="宋体" w:eastAsia="宋体" w:cs="宋体"/>
          <w:b/>
          <w:bCs w:val="0"/>
          <w:sz w:val="32"/>
          <w:szCs w:val="32"/>
        </w:rPr>
        <w:t>述</w:t>
      </w:r>
      <w:bookmarkEnd w:id="0"/>
      <w:bookmarkEnd w:id="1"/>
      <w:bookmarkEnd w:id="2"/>
    </w:p>
    <w:p>
      <w:pPr>
        <w:spacing w:line="360" w:lineRule="auto"/>
        <w:outlineLvl w:val="1"/>
        <w:rPr>
          <w:rFonts w:ascii="宋体"/>
          <w:b/>
          <w:sz w:val="28"/>
          <w:szCs w:val="28"/>
        </w:rPr>
      </w:pPr>
      <w:bookmarkStart w:id="3" w:name="_Toc353351851"/>
      <w:bookmarkStart w:id="4" w:name="_Toc350517623"/>
      <w:r>
        <w:rPr>
          <w:rFonts w:ascii="宋体" w:hAnsi="宋体"/>
          <w:b/>
          <w:sz w:val="28"/>
          <w:szCs w:val="28"/>
        </w:rPr>
        <w:t>1.1</w:t>
      </w:r>
      <w:r>
        <w:rPr>
          <w:rFonts w:hint="eastAsia" w:ascii="宋体" w:hAnsi="宋体"/>
          <w:b/>
          <w:sz w:val="28"/>
          <w:szCs w:val="28"/>
        </w:rPr>
        <w:t>工程概况</w:t>
      </w:r>
      <w:bookmarkEnd w:id="3"/>
      <w:bookmarkEnd w:id="4"/>
    </w:p>
    <w:p>
      <w:pPr>
        <w:spacing w:line="360" w:lineRule="auto"/>
        <w:ind w:firstLine="630"/>
        <w:rPr>
          <w:rFonts w:ascii="宋体"/>
          <w:bCs/>
          <w:spacing w:val="-6"/>
          <w:sz w:val="24"/>
        </w:rPr>
      </w:pPr>
      <w:r>
        <w:rPr>
          <w:rFonts w:hint="eastAsia"/>
        </w:rPr>
        <w:t>黄冈碧桂园房地产开发有限公司拟在黄冈市黄州区赤壁二路其征地范围内兴建黄冈碧桂园万达旁地块项目</w:t>
      </w:r>
      <w:r>
        <w:rPr>
          <w:rFonts w:hint="eastAsia"/>
          <w:bCs/>
          <w:sz w:val="24"/>
        </w:rPr>
        <w:t>，工程</w:t>
      </w:r>
      <w:r>
        <w:rPr>
          <w:rFonts w:hint="eastAsia" w:ascii="宋体" w:hAnsi="宋体"/>
          <w:bCs/>
          <w:sz w:val="24"/>
        </w:rPr>
        <w:t>场地原为农田、水塘，表层有植物根系及建筑与生活垃圾，地势表层</w:t>
      </w:r>
      <w:r>
        <w:rPr>
          <w:rFonts w:hint="eastAsia" w:ascii="宋体" w:hAnsi="宋体"/>
          <w:bCs/>
          <w:sz w:val="24"/>
          <w:lang w:eastAsia="zh-CN"/>
        </w:rPr>
        <w:t>为</w:t>
      </w:r>
      <w:r>
        <w:rPr>
          <w:rFonts w:hint="eastAsia" w:ascii="宋体" w:hAnsi="宋体"/>
          <w:bCs/>
          <w:sz w:val="24"/>
        </w:rPr>
        <w:t>3~5米</w:t>
      </w:r>
      <w:r>
        <w:rPr>
          <w:rFonts w:hint="eastAsia"/>
          <w:lang w:eastAsia="zh-CN"/>
        </w:rPr>
        <w:t>粉质粘土</w:t>
      </w:r>
      <w:r>
        <w:rPr>
          <w:rFonts w:hint="eastAsia"/>
        </w:rPr>
        <w:t>，下伏基岩为白垩系~下第三系泥质粉砂岩</w:t>
      </w:r>
      <w:r>
        <w:rPr>
          <w:rFonts w:ascii="宋体" w:hAnsi="宋体"/>
          <w:bCs/>
          <w:sz w:val="24"/>
        </w:rPr>
        <w:t xml:space="preserve">, </w:t>
      </w:r>
      <w:r>
        <w:rPr>
          <w:rFonts w:hint="eastAsia" w:ascii="宋体" w:hAnsi="宋体"/>
          <w:bCs/>
          <w:sz w:val="24"/>
        </w:rPr>
        <w:t>总建筑面积大约</w:t>
      </w:r>
      <w:r>
        <w:rPr>
          <w:rFonts w:hint="eastAsia" w:ascii="宋体" w:hAnsi="宋体"/>
          <w:bCs/>
          <w:sz w:val="24"/>
          <w:lang w:val="en-US" w:eastAsia="zh-CN"/>
        </w:rPr>
        <w:t>276347.47</w:t>
      </w:r>
      <w:r>
        <w:rPr>
          <w:rFonts w:hint="eastAsia" w:ascii="宋体" w:hAnsi="宋体"/>
          <w:bCs/>
          <w:sz w:val="24"/>
        </w:rPr>
        <w:t>平方米</w:t>
      </w:r>
      <w:bookmarkStart w:id="168" w:name="_GoBack"/>
      <w:bookmarkEnd w:id="168"/>
    </w:p>
    <w:p>
      <w:pPr>
        <w:spacing w:line="360" w:lineRule="auto"/>
        <w:ind w:firstLine="480" w:firstLineChars="200"/>
        <w:rPr>
          <w:rFonts w:ascii="宋体" w:cs="宋体"/>
          <w:bCs/>
          <w:sz w:val="24"/>
        </w:rPr>
      </w:pPr>
      <w:r>
        <w:rPr>
          <w:rFonts w:hint="eastAsia" w:ascii="宋体" w:hAnsi="宋体"/>
          <w:bCs/>
          <w:sz w:val="24"/>
        </w:rPr>
        <w:t>该项目由</w:t>
      </w:r>
      <w:r>
        <w:rPr>
          <w:rFonts w:hint="eastAsia" w:ascii="宋体" w:hAnsi="宋体"/>
          <w:bCs/>
          <w:sz w:val="24"/>
          <w:highlight w:val="yellow"/>
        </w:rPr>
        <w:t>广东博意建筑设计院有限公司设计</w:t>
      </w:r>
      <w:r>
        <w:rPr>
          <w:rFonts w:hint="eastAsia" w:ascii="宋体" w:hAnsi="宋体"/>
          <w:bCs/>
          <w:sz w:val="24"/>
        </w:rPr>
        <w:t>，主要包括</w:t>
      </w:r>
      <w:r>
        <w:rPr>
          <w:rFonts w:hint="eastAsia" w:ascii="宋体" w:hAnsi="宋体"/>
          <w:bCs/>
          <w:sz w:val="24"/>
          <w:lang w:val="en-US" w:eastAsia="zh-CN"/>
        </w:rPr>
        <w:t>9</w:t>
      </w:r>
      <w:r>
        <w:rPr>
          <w:rFonts w:hint="eastAsia" w:ascii="宋体" w:hAnsi="宋体"/>
          <w:bCs/>
          <w:sz w:val="24"/>
        </w:rPr>
        <w:t>栋高层住宅楼，</w:t>
      </w:r>
      <w:r>
        <w:rPr>
          <w:rFonts w:hint="eastAsia" w:ascii="宋体" w:hAnsi="宋体"/>
          <w:bCs/>
          <w:sz w:val="24"/>
          <w:lang w:eastAsia="zh-CN"/>
        </w:rPr>
        <w:t>一个</w:t>
      </w:r>
      <w:r>
        <w:rPr>
          <w:rFonts w:hint="eastAsia" w:ascii="宋体" w:hAnsi="宋体"/>
          <w:bCs/>
          <w:sz w:val="24"/>
        </w:rPr>
        <w:t>商业及整体地下室构成。地基基础设计等级为</w:t>
      </w:r>
      <w:r>
        <w:rPr>
          <w:rFonts w:hint="eastAsia" w:ascii="楷体_GB2312" w:eastAsia="楷体_GB2312"/>
          <w:sz w:val="32"/>
          <w:szCs w:val="32"/>
        </w:rPr>
        <w:t>Ⅱ</w:t>
      </w:r>
      <w:r>
        <w:rPr>
          <w:rFonts w:hint="eastAsia" w:ascii="宋体" w:hAnsi="宋体"/>
          <w:bCs/>
          <w:sz w:val="24"/>
        </w:rPr>
        <w:t>级，主楼设计为桩径为</w:t>
      </w:r>
      <w:r>
        <w:rPr>
          <w:rFonts w:hint="eastAsia" w:ascii="宋体" w:hAnsi="宋体" w:cs="宋体"/>
          <w:bCs/>
          <w:sz w:val="24"/>
        </w:rPr>
        <w:t>Φ</w:t>
      </w:r>
      <w:r>
        <w:rPr>
          <w:rFonts w:ascii="宋体" w:hAnsi="宋体" w:cs="宋体"/>
          <w:bCs/>
          <w:sz w:val="24"/>
        </w:rPr>
        <w:t>800</w:t>
      </w:r>
      <w:r>
        <w:rPr>
          <w:rFonts w:hint="eastAsia" w:ascii="宋体" w:hAnsi="宋体" w:cs="宋体"/>
          <w:bCs/>
          <w:sz w:val="24"/>
        </w:rPr>
        <w:t>、Φ</w:t>
      </w:r>
      <w:r>
        <w:rPr>
          <w:rFonts w:ascii="宋体" w:hAnsi="宋体" w:cs="宋体"/>
          <w:bCs/>
          <w:sz w:val="24"/>
        </w:rPr>
        <w:t>1000mm</w:t>
      </w:r>
      <w:r>
        <w:rPr>
          <w:rFonts w:hint="eastAsia" w:ascii="宋体" w:hAnsi="宋体" w:cs="宋体"/>
          <w:bCs/>
          <w:sz w:val="24"/>
        </w:rPr>
        <w:t>桩基础，地下车库设计为桩径Φ500</w:t>
      </w:r>
      <w:r>
        <w:rPr>
          <w:rFonts w:ascii="宋体" w:hAnsi="宋体" w:cs="宋体"/>
          <w:bCs/>
          <w:sz w:val="24"/>
        </w:rPr>
        <w:t>mm</w:t>
      </w:r>
      <w:r>
        <w:rPr>
          <w:rFonts w:hint="eastAsia" w:ascii="宋体" w:hAnsi="宋体" w:cs="宋体"/>
          <w:bCs/>
          <w:sz w:val="24"/>
        </w:rPr>
        <w:t>。</w:t>
      </w:r>
    </w:p>
    <w:p>
      <w:pPr>
        <w:spacing w:line="360" w:lineRule="auto"/>
        <w:ind w:firstLine="480" w:firstLineChars="200"/>
        <w:rPr>
          <w:rFonts w:ascii="宋体"/>
          <w:bCs/>
          <w:sz w:val="24"/>
        </w:rPr>
      </w:pPr>
      <w:r>
        <w:rPr>
          <w:rFonts w:hint="eastAsia" w:ascii="宋体" w:hAnsi="宋体" w:cs="宋体"/>
          <w:bCs/>
          <w:sz w:val="24"/>
        </w:rPr>
        <w:t>其中施工有效桩长以桩端进入持力层控制为主、桩长控制为辅双控</w:t>
      </w:r>
      <w:r>
        <w:rPr>
          <w:rFonts w:ascii="宋体" w:cs="宋体"/>
          <w:bCs/>
          <w:sz w:val="24"/>
        </w:rPr>
        <w:t>,</w:t>
      </w:r>
      <w:r>
        <w:rPr>
          <w:rFonts w:hint="eastAsia" w:ascii="宋体" w:hAnsi="宋体" w:cs="宋体"/>
          <w:bCs/>
          <w:sz w:val="24"/>
        </w:rPr>
        <w:t>部分桩基深度由甲方、监理方、地勘院等三方现场确定。</w:t>
      </w:r>
    </w:p>
    <w:p>
      <w:pPr>
        <w:spacing w:line="360" w:lineRule="auto"/>
        <w:jc w:val="center"/>
        <w:rPr>
          <w:b/>
          <w:bCs/>
          <w:szCs w:val="21"/>
        </w:rPr>
      </w:pPr>
      <w:r>
        <w:rPr>
          <w:rFonts w:hint="eastAsia"/>
          <w:b/>
          <w:bCs/>
          <w:szCs w:val="21"/>
        </w:rPr>
        <w:t>图</w:t>
      </w:r>
      <w:r>
        <w:rPr>
          <w:b/>
          <w:bCs/>
          <w:szCs w:val="21"/>
        </w:rPr>
        <w:t xml:space="preserve">1-1 </w:t>
      </w:r>
      <w:r>
        <w:rPr>
          <w:rFonts w:hint="eastAsia"/>
          <w:b/>
          <w:bCs/>
          <w:szCs w:val="21"/>
        </w:rPr>
        <w:t>5、 6、 7、 8、 10、 11</w:t>
      </w:r>
      <w:r>
        <w:rPr>
          <w:b/>
          <w:bCs/>
          <w:szCs w:val="21"/>
        </w:rPr>
        <w:t>#</w:t>
      </w:r>
      <w:r>
        <w:rPr>
          <w:rFonts w:hint="eastAsia"/>
          <w:b/>
          <w:bCs/>
          <w:szCs w:val="21"/>
        </w:rPr>
        <w:t>楼桩基础平面布置图</w:t>
      </w:r>
    </w:p>
    <w:p>
      <w:pPr>
        <w:snapToGrid w:val="0"/>
        <w:spacing w:line="360" w:lineRule="auto"/>
        <w:rPr>
          <w:rFonts w:ascii="宋体"/>
          <w:sz w:val="24"/>
        </w:rPr>
      </w:pPr>
      <w:r>
        <w:rPr>
          <w:rFonts w:ascii="宋体" w:hAnsi="宋体"/>
          <w:sz w:val="24"/>
        </w:rPr>
        <w:t xml:space="preserve">      </w:t>
      </w:r>
      <w:r>
        <w:rPr>
          <w:rFonts w:hint="eastAsia" w:ascii="宋体" w:hAnsi="宋体"/>
          <w:sz w:val="24"/>
        </w:rPr>
        <w:t>设计坐标根据总平面图纸及每栋楼的，设计桩基础桩顶标高因承台厚不同而变动。</w:t>
      </w:r>
    </w:p>
    <w:p>
      <w:pPr>
        <w:snapToGrid w:val="0"/>
        <w:spacing w:line="360" w:lineRule="auto"/>
        <w:jc w:val="center"/>
        <w:rPr>
          <w:rFonts w:ascii="宋体"/>
          <w:sz w:val="24"/>
        </w:rPr>
      </w:pPr>
      <w:r>
        <w:object>
          <v:shape id="_x0000_i1025" o:spt="75" type="#_x0000_t75" style="height:263.25pt;width:572.25pt;" o:ole="t" filled="f" o:preferrelative="t" stroked="f" coordsize="21600,21600">
            <v:path/>
            <v:fill on="f" focussize="0,0"/>
            <v:stroke on="f" joinstyle="miter"/>
            <v:imagedata r:id="rId16" o:title=""/>
            <o:lock v:ext="edit" aspectratio="t"/>
            <w10:wrap type="none"/>
            <w10:anchorlock/>
          </v:shape>
          <o:OLEObject Type="Embed" ProgID="AutoCAD.Drawing.17" ShapeID="_x0000_i1025" DrawAspect="Content" ObjectID="_1468075725" r:id="rId15">
            <o:LockedField>false</o:LockedField>
          </o:OLEObject>
        </w:object>
      </w:r>
    </w:p>
    <w:p>
      <w:pPr>
        <w:snapToGrid w:val="0"/>
        <w:spacing w:line="360" w:lineRule="auto"/>
        <w:rPr>
          <w:b/>
        </w:rPr>
      </w:pPr>
    </w:p>
    <w:p>
      <w:pPr>
        <w:spacing w:line="360" w:lineRule="auto"/>
        <w:outlineLvl w:val="1"/>
        <w:rPr>
          <w:rFonts w:ascii="宋体"/>
          <w:b/>
          <w:sz w:val="28"/>
          <w:szCs w:val="28"/>
        </w:rPr>
      </w:pPr>
      <w:bookmarkStart w:id="5" w:name="_Toc353351852"/>
      <w:bookmarkStart w:id="6" w:name="_Toc350517624"/>
      <w:r>
        <w:rPr>
          <w:rFonts w:ascii="宋体" w:hAnsi="宋体"/>
          <w:b/>
          <w:sz w:val="28"/>
          <w:szCs w:val="28"/>
        </w:rPr>
        <w:t>1.2</w:t>
      </w:r>
      <w:r>
        <w:rPr>
          <w:rFonts w:hint="eastAsia" w:ascii="宋体" w:hAnsi="宋体"/>
          <w:b/>
          <w:sz w:val="28"/>
          <w:szCs w:val="28"/>
        </w:rPr>
        <w:t>地质水文情况</w:t>
      </w:r>
      <w:bookmarkEnd w:id="5"/>
      <w:bookmarkEnd w:id="6"/>
    </w:p>
    <w:p>
      <w:pPr>
        <w:spacing w:line="360" w:lineRule="auto"/>
        <w:ind w:firstLine="482" w:firstLineChars="200"/>
        <w:outlineLvl w:val="2"/>
        <w:rPr>
          <w:b/>
          <w:bCs/>
          <w:sz w:val="28"/>
        </w:rPr>
      </w:pPr>
      <w:bookmarkStart w:id="7" w:name="_Toc353351853"/>
      <w:r>
        <w:rPr>
          <w:rFonts w:ascii="宋体" w:hAnsi="宋体"/>
          <w:b/>
          <w:sz w:val="24"/>
        </w:rPr>
        <w:t>1.2.1</w:t>
      </w:r>
      <w:r>
        <w:rPr>
          <w:rFonts w:hint="eastAsia"/>
          <w:b/>
          <w:bCs/>
          <w:sz w:val="24"/>
        </w:rPr>
        <w:t>地层结构及空间展布</w:t>
      </w:r>
      <w:bookmarkEnd w:id="7"/>
    </w:p>
    <w:p>
      <w:pPr>
        <w:spacing w:line="520" w:lineRule="exact"/>
        <w:ind w:firstLine="629"/>
        <w:rPr>
          <w:rFonts w:hint="eastAsia"/>
          <w:sz w:val="24"/>
        </w:rPr>
      </w:pPr>
      <w:r>
        <w:rPr>
          <w:rFonts w:hint="eastAsia"/>
          <w:sz w:val="24"/>
        </w:rPr>
        <w:t>根据本次勘察的钻探取土描述和土工试验成果，拟建场地在勘探深度（42.6米）范围内表层一般分布有厚度不一的耕表土层(Q</w:t>
      </w:r>
      <w:r>
        <w:rPr>
          <w:rFonts w:hint="eastAsia"/>
          <w:sz w:val="24"/>
          <w:vertAlign w:val="superscript"/>
        </w:rPr>
        <w:t>pd</w:t>
      </w:r>
      <w:r>
        <w:rPr>
          <w:rFonts w:hint="eastAsia"/>
          <w:sz w:val="24"/>
        </w:rPr>
        <w:t>)及淤泥层（Q</w:t>
      </w:r>
      <w:r>
        <w:rPr>
          <w:rFonts w:hint="eastAsia"/>
          <w:sz w:val="24"/>
          <w:vertAlign w:val="superscript"/>
        </w:rPr>
        <w:t>l</w:t>
      </w:r>
      <w:r>
        <w:rPr>
          <w:rFonts w:hint="eastAsia"/>
          <w:sz w:val="24"/>
        </w:rPr>
        <w:t>）外，其下依次为第四系全新统冲积成因的粘性土层(Q</w:t>
      </w:r>
      <w:r>
        <w:rPr>
          <w:rFonts w:hint="eastAsia"/>
          <w:sz w:val="24"/>
          <w:vertAlign w:val="subscript"/>
        </w:rPr>
        <w:t>4</w:t>
      </w:r>
      <w:r>
        <w:rPr>
          <w:rFonts w:hint="eastAsia"/>
          <w:sz w:val="24"/>
          <w:vertAlign w:val="superscript"/>
        </w:rPr>
        <w:t>al</w:t>
      </w:r>
      <w:r>
        <w:rPr>
          <w:rFonts w:hint="eastAsia"/>
          <w:sz w:val="24"/>
        </w:rPr>
        <w:t>)、第四系更新统冲洪积成因的粘性土层及粘性土夹碎石层(Q</w:t>
      </w:r>
      <w:r>
        <w:rPr>
          <w:rFonts w:hint="eastAsia"/>
          <w:sz w:val="24"/>
          <w:vertAlign w:val="subscript"/>
        </w:rPr>
        <w:t>3</w:t>
      </w:r>
      <w:r>
        <w:rPr>
          <w:rFonts w:hint="eastAsia"/>
          <w:sz w:val="24"/>
          <w:vertAlign w:val="superscript"/>
        </w:rPr>
        <w:t>al+pl</w:t>
      </w:r>
      <w:r>
        <w:rPr>
          <w:rFonts w:hint="eastAsia"/>
          <w:sz w:val="24"/>
        </w:rPr>
        <w:t>)，下伏基岩为志留系泥岩(S</w:t>
      </w:r>
      <w:r>
        <w:rPr>
          <w:rFonts w:hint="eastAsia"/>
          <w:sz w:val="24"/>
          <w:vertAlign w:val="subscript"/>
        </w:rPr>
        <w:t>2f</w:t>
      </w:r>
      <w:r>
        <w:rPr>
          <w:rFonts w:hint="eastAsia"/>
          <w:sz w:val="24"/>
        </w:rPr>
        <w:t>)。各土层分布埋藏情况及主要特征详见表：</w:t>
      </w:r>
    </w:p>
    <w:p>
      <w:pPr>
        <w:spacing w:line="240" w:lineRule="exact"/>
        <w:ind w:firstLine="629"/>
        <w:jc w:val="right"/>
        <w:rPr>
          <w:rFonts w:hint="eastAsia"/>
          <w:szCs w:val="21"/>
        </w:rPr>
      </w:pPr>
      <w:bookmarkStart w:id="8" w:name="_Toc353351854"/>
    </w:p>
    <w:tbl>
      <w:tblPr>
        <w:tblStyle w:val="29"/>
        <w:tblW w:w="88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45" w:type="dxa"/>
          <w:bottom w:w="28" w:type="dxa"/>
          <w:right w:w="45" w:type="dxa"/>
        </w:tblCellMar>
      </w:tblPr>
      <w:tblGrid>
        <w:gridCol w:w="908"/>
        <w:gridCol w:w="661"/>
        <w:gridCol w:w="767"/>
        <w:gridCol w:w="866"/>
        <w:gridCol w:w="866"/>
        <w:gridCol w:w="676"/>
        <w:gridCol w:w="726"/>
        <w:gridCol w:w="735"/>
        <w:gridCol w:w="26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45" w:type="dxa"/>
            <w:bottom w:w="28" w:type="dxa"/>
            <w:right w:w="45" w:type="dxa"/>
          </w:tblCellMar>
        </w:tblPrEx>
        <w:trPr>
          <w:cantSplit/>
          <w:trHeight w:val="431" w:hRule="atLeast"/>
        </w:trPr>
        <w:tc>
          <w:tcPr>
            <w:tcW w:w="908" w:type="dxa"/>
            <w:vAlign w:val="center"/>
          </w:tcPr>
          <w:p>
            <w:pPr>
              <w:spacing w:line="180" w:lineRule="exact"/>
              <w:jc w:val="center"/>
              <w:rPr>
                <w:rFonts w:hint="eastAsia"/>
                <w:bCs/>
                <w:sz w:val="18"/>
                <w:szCs w:val="18"/>
              </w:rPr>
            </w:pPr>
            <w:r>
              <w:rPr>
                <w:rFonts w:hint="eastAsia"/>
                <w:bCs/>
                <w:sz w:val="18"/>
                <w:szCs w:val="18"/>
              </w:rPr>
              <w:t>层号及</w:t>
            </w:r>
          </w:p>
          <w:p>
            <w:pPr>
              <w:spacing w:line="180" w:lineRule="exact"/>
              <w:jc w:val="center"/>
              <w:rPr>
                <w:rFonts w:hint="eastAsia"/>
                <w:bCs/>
                <w:sz w:val="18"/>
                <w:szCs w:val="18"/>
              </w:rPr>
            </w:pPr>
            <w:r>
              <w:rPr>
                <w:rFonts w:hint="eastAsia"/>
                <w:bCs/>
                <w:sz w:val="18"/>
                <w:szCs w:val="18"/>
              </w:rPr>
              <w:t>名  称</w:t>
            </w:r>
          </w:p>
        </w:tc>
        <w:tc>
          <w:tcPr>
            <w:tcW w:w="661" w:type="dxa"/>
            <w:vAlign w:val="center"/>
          </w:tcPr>
          <w:p>
            <w:pPr>
              <w:spacing w:line="180" w:lineRule="exact"/>
              <w:jc w:val="center"/>
              <w:rPr>
                <w:rFonts w:hint="eastAsia"/>
                <w:bCs/>
                <w:sz w:val="18"/>
                <w:szCs w:val="18"/>
              </w:rPr>
            </w:pPr>
            <w:r>
              <w:rPr>
                <w:rFonts w:hint="eastAsia"/>
                <w:bCs/>
                <w:sz w:val="18"/>
                <w:szCs w:val="18"/>
              </w:rPr>
              <w:t>地层年代及成因</w:t>
            </w:r>
          </w:p>
        </w:tc>
        <w:tc>
          <w:tcPr>
            <w:tcW w:w="767" w:type="dxa"/>
            <w:vAlign w:val="center"/>
          </w:tcPr>
          <w:p>
            <w:pPr>
              <w:spacing w:line="180" w:lineRule="exact"/>
              <w:jc w:val="center"/>
              <w:rPr>
                <w:rFonts w:hint="eastAsia"/>
                <w:bCs/>
                <w:sz w:val="18"/>
                <w:szCs w:val="18"/>
              </w:rPr>
            </w:pPr>
            <w:r>
              <w:rPr>
                <w:rFonts w:hint="eastAsia"/>
                <w:bCs/>
                <w:sz w:val="18"/>
                <w:szCs w:val="18"/>
              </w:rPr>
              <w:t>分布</w:t>
            </w:r>
          </w:p>
          <w:p>
            <w:pPr>
              <w:spacing w:line="180" w:lineRule="exact"/>
              <w:jc w:val="center"/>
              <w:rPr>
                <w:rFonts w:hint="eastAsia"/>
                <w:bCs/>
                <w:sz w:val="18"/>
                <w:szCs w:val="18"/>
              </w:rPr>
            </w:pPr>
            <w:r>
              <w:rPr>
                <w:rFonts w:hint="eastAsia"/>
                <w:bCs/>
                <w:sz w:val="18"/>
                <w:szCs w:val="18"/>
              </w:rPr>
              <w:t>范围</w:t>
            </w:r>
          </w:p>
        </w:tc>
        <w:tc>
          <w:tcPr>
            <w:tcW w:w="866" w:type="dxa"/>
            <w:vAlign w:val="center"/>
          </w:tcPr>
          <w:p>
            <w:pPr>
              <w:spacing w:line="180" w:lineRule="exact"/>
              <w:jc w:val="center"/>
              <w:rPr>
                <w:rFonts w:hint="eastAsia"/>
                <w:bCs/>
                <w:sz w:val="18"/>
                <w:szCs w:val="18"/>
              </w:rPr>
            </w:pPr>
            <w:r>
              <w:rPr>
                <w:rFonts w:hint="eastAsia"/>
                <w:bCs/>
                <w:sz w:val="18"/>
                <w:szCs w:val="18"/>
              </w:rPr>
              <w:t>层面埋深</w:t>
            </w:r>
          </w:p>
          <w:p>
            <w:pPr>
              <w:spacing w:line="180" w:lineRule="exact"/>
              <w:jc w:val="center"/>
              <w:rPr>
                <w:rFonts w:hint="eastAsia"/>
                <w:bCs/>
                <w:sz w:val="18"/>
                <w:szCs w:val="18"/>
              </w:rPr>
            </w:pPr>
            <w:r>
              <w:rPr>
                <w:rFonts w:hint="eastAsia"/>
                <w:bCs/>
                <w:sz w:val="18"/>
                <w:szCs w:val="18"/>
              </w:rPr>
              <w:t>（m）</w:t>
            </w:r>
          </w:p>
        </w:tc>
        <w:tc>
          <w:tcPr>
            <w:tcW w:w="866" w:type="dxa"/>
            <w:vAlign w:val="center"/>
          </w:tcPr>
          <w:p>
            <w:pPr>
              <w:spacing w:line="180" w:lineRule="exact"/>
              <w:jc w:val="center"/>
              <w:rPr>
                <w:rFonts w:hint="eastAsia"/>
                <w:bCs/>
                <w:sz w:val="18"/>
                <w:szCs w:val="18"/>
              </w:rPr>
            </w:pPr>
            <w:r>
              <w:rPr>
                <w:rFonts w:hint="eastAsia"/>
                <w:bCs/>
                <w:sz w:val="18"/>
                <w:szCs w:val="18"/>
              </w:rPr>
              <w:t>层厚</w:t>
            </w:r>
          </w:p>
          <w:p>
            <w:pPr>
              <w:spacing w:line="180" w:lineRule="exact"/>
              <w:jc w:val="center"/>
              <w:rPr>
                <w:rFonts w:hint="eastAsia"/>
                <w:bCs/>
                <w:sz w:val="18"/>
                <w:szCs w:val="18"/>
              </w:rPr>
            </w:pPr>
            <w:r>
              <w:rPr>
                <w:rFonts w:hint="eastAsia"/>
                <w:bCs/>
                <w:sz w:val="18"/>
                <w:szCs w:val="18"/>
              </w:rPr>
              <w:t>（m）</w:t>
            </w:r>
          </w:p>
        </w:tc>
        <w:tc>
          <w:tcPr>
            <w:tcW w:w="676" w:type="dxa"/>
            <w:vAlign w:val="center"/>
          </w:tcPr>
          <w:p>
            <w:pPr>
              <w:spacing w:line="180" w:lineRule="exact"/>
              <w:jc w:val="center"/>
              <w:rPr>
                <w:rFonts w:hint="eastAsia"/>
                <w:bCs/>
                <w:sz w:val="18"/>
                <w:szCs w:val="18"/>
              </w:rPr>
            </w:pPr>
            <w:r>
              <w:rPr>
                <w:rFonts w:hint="eastAsia"/>
                <w:bCs/>
                <w:sz w:val="18"/>
                <w:szCs w:val="18"/>
              </w:rPr>
              <w:t>颜色</w:t>
            </w:r>
          </w:p>
        </w:tc>
        <w:tc>
          <w:tcPr>
            <w:tcW w:w="726" w:type="dxa"/>
            <w:tcBorders>
              <w:left w:val="single" w:color="auto" w:sz="6" w:space="0"/>
            </w:tcBorders>
            <w:vAlign w:val="center"/>
          </w:tcPr>
          <w:p>
            <w:pPr>
              <w:spacing w:line="180" w:lineRule="exact"/>
              <w:jc w:val="center"/>
              <w:rPr>
                <w:rFonts w:hint="eastAsia"/>
                <w:bCs/>
                <w:sz w:val="18"/>
                <w:szCs w:val="18"/>
              </w:rPr>
            </w:pPr>
            <w:r>
              <w:rPr>
                <w:rFonts w:hint="eastAsia"/>
                <w:bCs/>
                <w:sz w:val="18"/>
                <w:szCs w:val="18"/>
              </w:rPr>
              <w:t>状态或</w:t>
            </w:r>
          </w:p>
          <w:p>
            <w:pPr>
              <w:spacing w:line="180" w:lineRule="exact"/>
              <w:jc w:val="center"/>
              <w:rPr>
                <w:rFonts w:hint="eastAsia"/>
                <w:bCs/>
                <w:sz w:val="18"/>
                <w:szCs w:val="18"/>
              </w:rPr>
            </w:pPr>
            <w:r>
              <w:rPr>
                <w:rFonts w:hint="eastAsia"/>
                <w:bCs/>
                <w:sz w:val="18"/>
                <w:szCs w:val="18"/>
              </w:rPr>
              <w:t>密度</w:t>
            </w:r>
          </w:p>
        </w:tc>
        <w:tc>
          <w:tcPr>
            <w:tcW w:w="735" w:type="dxa"/>
            <w:vAlign w:val="center"/>
          </w:tcPr>
          <w:p>
            <w:pPr>
              <w:spacing w:line="180" w:lineRule="exact"/>
              <w:jc w:val="center"/>
              <w:rPr>
                <w:rFonts w:hint="eastAsia"/>
                <w:bCs/>
                <w:sz w:val="18"/>
                <w:szCs w:val="18"/>
              </w:rPr>
            </w:pPr>
            <w:r>
              <w:rPr>
                <w:rFonts w:hint="eastAsia"/>
                <w:bCs/>
                <w:sz w:val="18"/>
                <w:szCs w:val="18"/>
              </w:rPr>
              <w:t>压缩性</w:t>
            </w:r>
          </w:p>
        </w:tc>
        <w:tc>
          <w:tcPr>
            <w:tcW w:w="2672" w:type="dxa"/>
            <w:vAlign w:val="center"/>
          </w:tcPr>
          <w:p>
            <w:pPr>
              <w:spacing w:line="180" w:lineRule="exact"/>
              <w:jc w:val="center"/>
              <w:rPr>
                <w:rFonts w:hint="eastAsia"/>
                <w:bCs/>
                <w:sz w:val="18"/>
                <w:szCs w:val="18"/>
              </w:rPr>
            </w:pPr>
            <w:r>
              <w:rPr>
                <w:rFonts w:hint="eastAsia"/>
                <w:bCs/>
                <w:sz w:val="18"/>
                <w:szCs w:val="18"/>
              </w:rPr>
              <w:t>包含物及其它特征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45" w:type="dxa"/>
            <w:bottom w:w="28" w:type="dxa"/>
            <w:right w:w="45" w:type="dxa"/>
          </w:tblCellMar>
        </w:tblPrEx>
        <w:trPr>
          <w:cantSplit/>
          <w:trHeight w:val="358" w:hRule="atLeast"/>
        </w:trPr>
        <w:tc>
          <w:tcPr>
            <w:tcW w:w="908" w:type="dxa"/>
            <w:vAlign w:val="center"/>
          </w:tcPr>
          <w:p>
            <w:pPr>
              <w:spacing w:line="180" w:lineRule="exact"/>
              <w:jc w:val="center"/>
              <w:rPr>
                <w:rFonts w:hint="eastAsia"/>
                <w:bCs/>
                <w:sz w:val="18"/>
                <w:szCs w:val="18"/>
              </w:rPr>
            </w:pPr>
            <w:r>
              <w:rPr>
                <w:rFonts w:hint="eastAsia"/>
                <w:bCs/>
                <w:sz w:val="18"/>
                <w:szCs w:val="18"/>
              </w:rPr>
              <w:t>(1)耕表土</w:t>
            </w:r>
          </w:p>
        </w:tc>
        <w:tc>
          <w:tcPr>
            <w:tcW w:w="661" w:type="dxa"/>
            <w:tcBorders>
              <w:bottom w:val="single" w:color="auto" w:sz="4" w:space="0"/>
            </w:tcBorders>
            <w:vAlign w:val="center"/>
          </w:tcPr>
          <w:p>
            <w:pPr>
              <w:spacing w:line="180" w:lineRule="exact"/>
              <w:jc w:val="center"/>
              <w:rPr>
                <w:rFonts w:hint="eastAsia"/>
                <w:bCs/>
                <w:sz w:val="18"/>
                <w:szCs w:val="18"/>
              </w:rPr>
            </w:pPr>
            <w:r>
              <w:rPr>
                <w:rFonts w:hint="eastAsia"/>
                <w:bCs/>
                <w:sz w:val="18"/>
                <w:szCs w:val="18"/>
              </w:rPr>
              <w:t>Q</w:t>
            </w:r>
            <w:r>
              <w:rPr>
                <w:rFonts w:hint="eastAsia"/>
                <w:bCs/>
                <w:sz w:val="18"/>
                <w:szCs w:val="18"/>
                <w:vertAlign w:val="superscript"/>
              </w:rPr>
              <w:t>pd</w:t>
            </w:r>
          </w:p>
        </w:tc>
        <w:tc>
          <w:tcPr>
            <w:tcW w:w="767" w:type="dxa"/>
            <w:vAlign w:val="center"/>
          </w:tcPr>
          <w:p>
            <w:pPr>
              <w:spacing w:line="180" w:lineRule="exact"/>
              <w:jc w:val="center"/>
              <w:rPr>
                <w:rFonts w:hint="eastAsia"/>
                <w:bCs/>
                <w:sz w:val="18"/>
                <w:szCs w:val="18"/>
              </w:rPr>
            </w:pPr>
            <w:r>
              <w:rPr>
                <w:rFonts w:hint="eastAsia"/>
                <w:bCs/>
                <w:sz w:val="18"/>
                <w:szCs w:val="18"/>
              </w:rPr>
              <w:t>全场地</w:t>
            </w:r>
          </w:p>
        </w:tc>
        <w:tc>
          <w:tcPr>
            <w:tcW w:w="866" w:type="dxa"/>
            <w:vAlign w:val="center"/>
          </w:tcPr>
          <w:p>
            <w:pPr>
              <w:spacing w:line="180" w:lineRule="exact"/>
              <w:jc w:val="center"/>
              <w:rPr>
                <w:rFonts w:hint="eastAsia"/>
                <w:bCs/>
                <w:sz w:val="18"/>
                <w:szCs w:val="18"/>
              </w:rPr>
            </w:pPr>
            <w:r>
              <w:rPr>
                <w:rFonts w:hint="eastAsia"/>
                <w:bCs/>
                <w:sz w:val="18"/>
                <w:szCs w:val="18"/>
              </w:rPr>
              <w:t>0</w:t>
            </w:r>
          </w:p>
        </w:tc>
        <w:tc>
          <w:tcPr>
            <w:tcW w:w="866" w:type="dxa"/>
            <w:vAlign w:val="center"/>
          </w:tcPr>
          <w:p>
            <w:pPr>
              <w:spacing w:line="180" w:lineRule="exact"/>
              <w:jc w:val="center"/>
              <w:rPr>
                <w:rFonts w:hint="eastAsia"/>
                <w:bCs/>
                <w:sz w:val="18"/>
                <w:szCs w:val="18"/>
              </w:rPr>
            </w:pPr>
            <w:r>
              <w:rPr>
                <w:rFonts w:hint="eastAsia"/>
                <w:bCs/>
                <w:sz w:val="18"/>
                <w:szCs w:val="18"/>
              </w:rPr>
              <w:t>0.3~0.9</w:t>
            </w:r>
          </w:p>
        </w:tc>
        <w:tc>
          <w:tcPr>
            <w:tcW w:w="676" w:type="dxa"/>
            <w:vAlign w:val="center"/>
          </w:tcPr>
          <w:p>
            <w:pPr>
              <w:spacing w:line="180" w:lineRule="exact"/>
              <w:jc w:val="center"/>
              <w:rPr>
                <w:rFonts w:hint="eastAsia"/>
                <w:bCs/>
                <w:sz w:val="18"/>
                <w:szCs w:val="18"/>
              </w:rPr>
            </w:pPr>
            <w:r>
              <w:rPr>
                <w:rFonts w:hint="eastAsia"/>
                <w:bCs/>
                <w:sz w:val="18"/>
                <w:szCs w:val="18"/>
              </w:rPr>
              <w:t>杂</w:t>
            </w:r>
          </w:p>
        </w:tc>
        <w:tc>
          <w:tcPr>
            <w:tcW w:w="726" w:type="dxa"/>
            <w:tcBorders>
              <w:left w:val="single" w:color="auto" w:sz="6" w:space="0"/>
            </w:tcBorders>
            <w:vAlign w:val="center"/>
          </w:tcPr>
          <w:p>
            <w:pPr>
              <w:spacing w:line="180" w:lineRule="exact"/>
              <w:jc w:val="center"/>
              <w:rPr>
                <w:rFonts w:hint="eastAsia"/>
                <w:bCs/>
                <w:sz w:val="18"/>
                <w:szCs w:val="18"/>
              </w:rPr>
            </w:pPr>
            <w:r>
              <w:rPr>
                <w:rFonts w:hint="eastAsia"/>
                <w:bCs/>
                <w:sz w:val="18"/>
                <w:szCs w:val="18"/>
              </w:rPr>
              <w:t>松散</w:t>
            </w:r>
          </w:p>
        </w:tc>
        <w:tc>
          <w:tcPr>
            <w:tcW w:w="735" w:type="dxa"/>
            <w:vAlign w:val="center"/>
          </w:tcPr>
          <w:p>
            <w:pPr>
              <w:spacing w:line="180" w:lineRule="exact"/>
              <w:jc w:val="center"/>
              <w:rPr>
                <w:rFonts w:hint="eastAsia"/>
                <w:bCs/>
                <w:sz w:val="18"/>
                <w:szCs w:val="18"/>
              </w:rPr>
            </w:pPr>
            <w:r>
              <w:rPr>
                <w:rFonts w:hint="eastAsia"/>
                <w:bCs/>
                <w:sz w:val="18"/>
                <w:szCs w:val="18"/>
              </w:rPr>
              <w:t>高</w:t>
            </w:r>
          </w:p>
        </w:tc>
        <w:tc>
          <w:tcPr>
            <w:tcW w:w="2672" w:type="dxa"/>
            <w:vAlign w:val="center"/>
          </w:tcPr>
          <w:p>
            <w:pPr>
              <w:spacing w:line="180" w:lineRule="exact"/>
              <w:rPr>
                <w:rFonts w:hint="eastAsia"/>
                <w:bCs/>
                <w:sz w:val="18"/>
                <w:szCs w:val="18"/>
              </w:rPr>
            </w:pPr>
            <w:r>
              <w:rPr>
                <w:rFonts w:hint="eastAsia"/>
                <w:bCs/>
                <w:sz w:val="18"/>
                <w:szCs w:val="18"/>
              </w:rPr>
              <w:t>主要由粘性土夹植物根系组成，局部含少量塘泥，土质松散不均。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45" w:type="dxa"/>
            <w:bottom w:w="28" w:type="dxa"/>
            <w:right w:w="45" w:type="dxa"/>
          </w:tblCellMar>
        </w:tblPrEx>
        <w:trPr>
          <w:cantSplit/>
          <w:trHeight w:val="292" w:hRule="atLeast"/>
        </w:trPr>
        <w:tc>
          <w:tcPr>
            <w:tcW w:w="908" w:type="dxa"/>
            <w:vAlign w:val="center"/>
          </w:tcPr>
          <w:p>
            <w:pPr>
              <w:spacing w:line="180" w:lineRule="exact"/>
              <w:jc w:val="center"/>
              <w:rPr>
                <w:rFonts w:hint="eastAsia"/>
                <w:bCs/>
                <w:sz w:val="18"/>
                <w:szCs w:val="18"/>
              </w:rPr>
            </w:pPr>
            <w:r>
              <w:rPr>
                <w:rFonts w:hint="eastAsia"/>
                <w:bCs/>
                <w:sz w:val="18"/>
                <w:szCs w:val="18"/>
              </w:rPr>
              <w:t>（1a）淤泥</w:t>
            </w:r>
          </w:p>
        </w:tc>
        <w:tc>
          <w:tcPr>
            <w:tcW w:w="661" w:type="dxa"/>
            <w:tcBorders>
              <w:bottom w:val="single" w:color="auto" w:sz="4" w:space="0"/>
            </w:tcBorders>
            <w:vAlign w:val="center"/>
          </w:tcPr>
          <w:p>
            <w:pPr>
              <w:spacing w:line="180" w:lineRule="exact"/>
              <w:jc w:val="center"/>
              <w:rPr>
                <w:rFonts w:hint="eastAsia"/>
                <w:bCs/>
                <w:sz w:val="18"/>
                <w:szCs w:val="18"/>
                <w:vertAlign w:val="superscript"/>
              </w:rPr>
            </w:pPr>
            <w:r>
              <w:rPr>
                <w:rFonts w:hint="eastAsia"/>
                <w:bCs/>
                <w:sz w:val="18"/>
                <w:szCs w:val="18"/>
              </w:rPr>
              <w:t>Q</w:t>
            </w:r>
            <w:r>
              <w:rPr>
                <w:rFonts w:hint="eastAsia"/>
                <w:bCs/>
                <w:sz w:val="18"/>
                <w:szCs w:val="18"/>
                <w:vertAlign w:val="superscript"/>
              </w:rPr>
              <w:t>l</w:t>
            </w:r>
          </w:p>
        </w:tc>
        <w:tc>
          <w:tcPr>
            <w:tcW w:w="767" w:type="dxa"/>
            <w:vAlign w:val="center"/>
          </w:tcPr>
          <w:p>
            <w:pPr>
              <w:spacing w:line="180" w:lineRule="exact"/>
              <w:jc w:val="center"/>
              <w:rPr>
                <w:rFonts w:hint="eastAsia"/>
                <w:bCs/>
                <w:sz w:val="18"/>
                <w:szCs w:val="18"/>
              </w:rPr>
            </w:pPr>
            <w:r>
              <w:rPr>
                <w:rFonts w:hint="eastAsia"/>
                <w:bCs/>
                <w:sz w:val="18"/>
                <w:szCs w:val="18"/>
              </w:rPr>
              <w:t>局部场地分布</w:t>
            </w:r>
          </w:p>
        </w:tc>
        <w:tc>
          <w:tcPr>
            <w:tcW w:w="866" w:type="dxa"/>
            <w:vAlign w:val="center"/>
          </w:tcPr>
          <w:p>
            <w:pPr>
              <w:spacing w:line="180" w:lineRule="exact"/>
              <w:jc w:val="center"/>
              <w:rPr>
                <w:rFonts w:hint="eastAsia"/>
                <w:bCs/>
                <w:sz w:val="18"/>
                <w:szCs w:val="18"/>
              </w:rPr>
            </w:pPr>
            <w:r>
              <w:rPr>
                <w:rFonts w:hint="eastAsia"/>
                <w:bCs/>
                <w:sz w:val="18"/>
                <w:szCs w:val="18"/>
              </w:rPr>
              <w:t>0.3~0.5</w:t>
            </w:r>
          </w:p>
        </w:tc>
        <w:tc>
          <w:tcPr>
            <w:tcW w:w="866" w:type="dxa"/>
            <w:vAlign w:val="center"/>
          </w:tcPr>
          <w:p>
            <w:pPr>
              <w:spacing w:line="180" w:lineRule="exact"/>
              <w:jc w:val="center"/>
              <w:rPr>
                <w:rFonts w:hint="eastAsia"/>
                <w:bCs/>
                <w:sz w:val="18"/>
                <w:szCs w:val="18"/>
              </w:rPr>
            </w:pPr>
            <w:r>
              <w:rPr>
                <w:rFonts w:hint="eastAsia"/>
                <w:bCs/>
                <w:sz w:val="18"/>
                <w:szCs w:val="18"/>
              </w:rPr>
              <w:t>1.1~1.4</w:t>
            </w:r>
          </w:p>
        </w:tc>
        <w:tc>
          <w:tcPr>
            <w:tcW w:w="676" w:type="dxa"/>
            <w:vAlign w:val="center"/>
          </w:tcPr>
          <w:p>
            <w:pPr>
              <w:spacing w:line="180" w:lineRule="exact"/>
              <w:jc w:val="center"/>
              <w:rPr>
                <w:rFonts w:hint="eastAsia"/>
                <w:bCs/>
                <w:sz w:val="18"/>
                <w:szCs w:val="18"/>
              </w:rPr>
            </w:pPr>
            <w:r>
              <w:rPr>
                <w:rFonts w:hint="eastAsia"/>
                <w:bCs/>
                <w:sz w:val="18"/>
                <w:szCs w:val="18"/>
              </w:rPr>
              <w:t>黑灰色</w:t>
            </w:r>
          </w:p>
        </w:tc>
        <w:tc>
          <w:tcPr>
            <w:tcW w:w="726" w:type="dxa"/>
            <w:tcBorders>
              <w:left w:val="single" w:color="auto" w:sz="6" w:space="0"/>
            </w:tcBorders>
            <w:vAlign w:val="center"/>
          </w:tcPr>
          <w:p>
            <w:pPr>
              <w:spacing w:line="180" w:lineRule="exact"/>
              <w:jc w:val="center"/>
              <w:rPr>
                <w:rFonts w:hint="eastAsia"/>
                <w:bCs/>
                <w:sz w:val="18"/>
                <w:szCs w:val="18"/>
              </w:rPr>
            </w:pPr>
            <w:r>
              <w:rPr>
                <w:rFonts w:hint="eastAsia"/>
                <w:bCs/>
                <w:sz w:val="18"/>
                <w:szCs w:val="18"/>
              </w:rPr>
              <w:t>流~软塑</w:t>
            </w:r>
          </w:p>
        </w:tc>
        <w:tc>
          <w:tcPr>
            <w:tcW w:w="735" w:type="dxa"/>
            <w:vAlign w:val="center"/>
          </w:tcPr>
          <w:p>
            <w:pPr>
              <w:spacing w:line="180" w:lineRule="exact"/>
              <w:jc w:val="center"/>
              <w:rPr>
                <w:rFonts w:hint="eastAsia"/>
                <w:bCs/>
                <w:sz w:val="18"/>
                <w:szCs w:val="18"/>
              </w:rPr>
            </w:pPr>
            <w:r>
              <w:rPr>
                <w:rFonts w:hint="eastAsia"/>
                <w:bCs/>
                <w:sz w:val="18"/>
                <w:szCs w:val="18"/>
              </w:rPr>
              <w:t>高</w:t>
            </w:r>
          </w:p>
        </w:tc>
        <w:tc>
          <w:tcPr>
            <w:tcW w:w="2672" w:type="dxa"/>
            <w:vAlign w:val="center"/>
          </w:tcPr>
          <w:p>
            <w:pPr>
              <w:spacing w:line="180" w:lineRule="exact"/>
              <w:rPr>
                <w:rFonts w:hint="eastAsia"/>
                <w:bCs/>
                <w:sz w:val="18"/>
                <w:szCs w:val="18"/>
              </w:rPr>
            </w:pPr>
            <w:r>
              <w:rPr>
                <w:rFonts w:hint="eastAsia"/>
                <w:bCs/>
                <w:sz w:val="18"/>
                <w:szCs w:val="18"/>
              </w:rPr>
              <w:t>主要由粘性土夹少量植物根系组成，含有机质，土质不均，韧性较差。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45" w:type="dxa"/>
            <w:bottom w:w="28" w:type="dxa"/>
            <w:right w:w="45" w:type="dxa"/>
          </w:tblCellMar>
        </w:tblPrEx>
        <w:trPr>
          <w:cantSplit/>
          <w:trHeight w:val="164" w:hRule="atLeast"/>
        </w:trPr>
        <w:tc>
          <w:tcPr>
            <w:tcW w:w="908" w:type="dxa"/>
            <w:vAlign w:val="center"/>
          </w:tcPr>
          <w:p>
            <w:pPr>
              <w:spacing w:line="180" w:lineRule="exact"/>
              <w:jc w:val="center"/>
              <w:rPr>
                <w:rFonts w:hint="eastAsia"/>
                <w:bCs/>
                <w:sz w:val="18"/>
                <w:szCs w:val="18"/>
              </w:rPr>
            </w:pPr>
            <w:r>
              <w:rPr>
                <w:rFonts w:hint="eastAsia"/>
                <w:bCs/>
                <w:sz w:val="18"/>
                <w:szCs w:val="18"/>
              </w:rPr>
              <w:t>(2)粉质粘土</w:t>
            </w:r>
          </w:p>
        </w:tc>
        <w:tc>
          <w:tcPr>
            <w:tcW w:w="661" w:type="dxa"/>
            <w:shd w:val="clear" w:color="auto" w:fill="auto"/>
            <w:vAlign w:val="center"/>
          </w:tcPr>
          <w:p>
            <w:pPr>
              <w:spacing w:line="180" w:lineRule="exact"/>
              <w:jc w:val="center"/>
              <w:rPr>
                <w:rFonts w:hint="eastAsia"/>
                <w:bCs/>
                <w:sz w:val="18"/>
                <w:szCs w:val="18"/>
              </w:rPr>
            </w:pPr>
            <w:r>
              <w:rPr>
                <w:rFonts w:hint="eastAsia"/>
                <w:bCs/>
                <w:sz w:val="18"/>
                <w:szCs w:val="18"/>
              </w:rPr>
              <w:t>Q</w:t>
            </w:r>
            <w:r>
              <w:rPr>
                <w:rFonts w:hint="eastAsia"/>
                <w:bCs/>
                <w:sz w:val="18"/>
                <w:szCs w:val="18"/>
                <w:vertAlign w:val="subscript"/>
              </w:rPr>
              <w:t>4</w:t>
            </w:r>
            <w:r>
              <w:rPr>
                <w:rFonts w:hint="eastAsia"/>
                <w:bCs/>
                <w:sz w:val="18"/>
                <w:szCs w:val="18"/>
                <w:vertAlign w:val="superscript"/>
              </w:rPr>
              <w:t>al</w:t>
            </w:r>
          </w:p>
        </w:tc>
        <w:tc>
          <w:tcPr>
            <w:tcW w:w="767" w:type="dxa"/>
            <w:vAlign w:val="center"/>
          </w:tcPr>
          <w:p>
            <w:pPr>
              <w:spacing w:line="180" w:lineRule="exact"/>
              <w:jc w:val="center"/>
              <w:rPr>
                <w:rFonts w:hint="eastAsia"/>
                <w:bCs/>
                <w:sz w:val="18"/>
                <w:szCs w:val="18"/>
              </w:rPr>
            </w:pPr>
            <w:r>
              <w:rPr>
                <w:rFonts w:hint="eastAsia"/>
                <w:bCs/>
                <w:sz w:val="18"/>
                <w:szCs w:val="18"/>
              </w:rPr>
              <w:t>部分场地缺失</w:t>
            </w:r>
          </w:p>
        </w:tc>
        <w:tc>
          <w:tcPr>
            <w:tcW w:w="866" w:type="dxa"/>
            <w:vAlign w:val="center"/>
          </w:tcPr>
          <w:p>
            <w:pPr>
              <w:spacing w:line="180" w:lineRule="exact"/>
              <w:jc w:val="center"/>
              <w:rPr>
                <w:rFonts w:hint="eastAsia"/>
                <w:bCs/>
                <w:sz w:val="18"/>
                <w:szCs w:val="18"/>
              </w:rPr>
            </w:pPr>
            <w:r>
              <w:rPr>
                <w:rFonts w:hint="eastAsia"/>
                <w:bCs/>
                <w:sz w:val="18"/>
                <w:szCs w:val="18"/>
              </w:rPr>
              <w:t>0.3~1.7</w:t>
            </w:r>
          </w:p>
        </w:tc>
        <w:tc>
          <w:tcPr>
            <w:tcW w:w="866" w:type="dxa"/>
            <w:vAlign w:val="center"/>
          </w:tcPr>
          <w:p>
            <w:pPr>
              <w:spacing w:line="180" w:lineRule="exact"/>
              <w:jc w:val="center"/>
              <w:rPr>
                <w:rFonts w:hint="eastAsia"/>
                <w:bCs/>
                <w:sz w:val="18"/>
                <w:szCs w:val="18"/>
              </w:rPr>
            </w:pPr>
            <w:r>
              <w:rPr>
                <w:rFonts w:hint="eastAsia"/>
                <w:bCs/>
                <w:sz w:val="18"/>
                <w:szCs w:val="18"/>
              </w:rPr>
              <w:t>0.5~2.6</w:t>
            </w:r>
          </w:p>
        </w:tc>
        <w:tc>
          <w:tcPr>
            <w:tcW w:w="676" w:type="dxa"/>
            <w:vAlign w:val="center"/>
          </w:tcPr>
          <w:p>
            <w:pPr>
              <w:spacing w:line="180" w:lineRule="exact"/>
              <w:jc w:val="center"/>
              <w:rPr>
                <w:rFonts w:hint="eastAsia"/>
                <w:bCs/>
                <w:sz w:val="18"/>
                <w:szCs w:val="18"/>
              </w:rPr>
            </w:pPr>
            <w:r>
              <w:rPr>
                <w:rFonts w:hint="eastAsia"/>
                <w:bCs/>
                <w:sz w:val="18"/>
                <w:szCs w:val="18"/>
              </w:rPr>
              <w:t>黄褐色</w:t>
            </w:r>
          </w:p>
        </w:tc>
        <w:tc>
          <w:tcPr>
            <w:tcW w:w="726" w:type="dxa"/>
            <w:tcBorders>
              <w:left w:val="single" w:color="auto" w:sz="6" w:space="0"/>
            </w:tcBorders>
            <w:vAlign w:val="center"/>
          </w:tcPr>
          <w:p>
            <w:pPr>
              <w:spacing w:line="180" w:lineRule="exact"/>
              <w:jc w:val="center"/>
              <w:rPr>
                <w:rFonts w:hint="eastAsia"/>
                <w:bCs/>
                <w:sz w:val="18"/>
                <w:szCs w:val="18"/>
              </w:rPr>
            </w:pPr>
            <w:r>
              <w:rPr>
                <w:rFonts w:hint="eastAsia"/>
                <w:bCs/>
                <w:sz w:val="18"/>
                <w:szCs w:val="18"/>
              </w:rPr>
              <w:t>可塑</w:t>
            </w:r>
          </w:p>
        </w:tc>
        <w:tc>
          <w:tcPr>
            <w:tcW w:w="735" w:type="dxa"/>
            <w:vAlign w:val="center"/>
          </w:tcPr>
          <w:p>
            <w:pPr>
              <w:spacing w:line="180" w:lineRule="exact"/>
              <w:jc w:val="center"/>
              <w:rPr>
                <w:rFonts w:hint="eastAsia"/>
                <w:bCs/>
                <w:sz w:val="18"/>
                <w:szCs w:val="18"/>
              </w:rPr>
            </w:pPr>
            <w:r>
              <w:rPr>
                <w:rFonts w:hint="eastAsia"/>
                <w:bCs/>
                <w:sz w:val="18"/>
                <w:szCs w:val="18"/>
              </w:rPr>
              <w:t>中</w:t>
            </w:r>
          </w:p>
        </w:tc>
        <w:tc>
          <w:tcPr>
            <w:tcW w:w="2672" w:type="dxa"/>
            <w:vAlign w:val="center"/>
          </w:tcPr>
          <w:p>
            <w:pPr>
              <w:spacing w:line="180" w:lineRule="exact"/>
              <w:rPr>
                <w:rFonts w:hint="eastAsia"/>
                <w:bCs/>
                <w:sz w:val="18"/>
                <w:szCs w:val="18"/>
              </w:rPr>
            </w:pPr>
            <w:r>
              <w:rPr>
                <w:rFonts w:hint="eastAsia"/>
                <w:bCs/>
                <w:sz w:val="18"/>
                <w:szCs w:val="18"/>
              </w:rPr>
              <w:t>含氧化铁及铁锰质，局部夹少量有机质，土质均匀，干强度一般，韧性一般。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45" w:type="dxa"/>
            <w:bottom w:w="28" w:type="dxa"/>
            <w:right w:w="45" w:type="dxa"/>
          </w:tblCellMar>
        </w:tblPrEx>
        <w:trPr>
          <w:cantSplit/>
          <w:trHeight w:val="426" w:hRule="atLeast"/>
        </w:trPr>
        <w:tc>
          <w:tcPr>
            <w:tcW w:w="908" w:type="dxa"/>
            <w:vAlign w:val="center"/>
          </w:tcPr>
          <w:p>
            <w:pPr>
              <w:spacing w:line="180" w:lineRule="exact"/>
              <w:jc w:val="center"/>
              <w:rPr>
                <w:rFonts w:hint="eastAsia"/>
                <w:bCs/>
                <w:sz w:val="18"/>
                <w:szCs w:val="18"/>
              </w:rPr>
            </w:pPr>
            <w:r>
              <w:rPr>
                <w:rFonts w:hint="eastAsia"/>
                <w:bCs/>
                <w:sz w:val="18"/>
                <w:szCs w:val="18"/>
              </w:rPr>
              <w:t>(3-1)粉质粘土</w:t>
            </w:r>
          </w:p>
        </w:tc>
        <w:tc>
          <w:tcPr>
            <w:tcW w:w="661" w:type="dxa"/>
            <w:vMerge w:val="restart"/>
            <w:shd w:val="clear" w:color="auto" w:fill="auto"/>
            <w:vAlign w:val="center"/>
          </w:tcPr>
          <w:p>
            <w:pPr>
              <w:spacing w:line="180" w:lineRule="exact"/>
              <w:jc w:val="center"/>
              <w:rPr>
                <w:rFonts w:hint="eastAsia"/>
                <w:bCs/>
                <w:sz w:val="18"/>
                <w:szCs w:val="18"/>
              </w:rPr>
            </w:pPr>
            <w:r>
              <w:rPr>
                <w:rFonts w:hint="eastAsia"/>
                <w:bCs/>
                <w:sz w:val="18"/>
                <w:szCs w:val="18"/>
              </w:rPr>
              <w:t>Q</w:t>
            </w:r>
            <w:r>
              <w:rPr>
                <w:rFonts w:hint="eastAsia"/>
                <w:bCs/>
                <w:sz w:val="18"/>
                <w:szCs w:val="18"/>
                <w:vertAlign w:val="subscript"/>
              </w:rPr>
              <w:t>3</w:t>
            </w:r>
            <w:r>
              <w:rPr>
                <w:rFonts w:hint="eastAsia"/>
                <w:bCs/>
                <w:sz w:val="18"/>
                <w:szCs w:val="18"/>
                <w:vertAlign w:val="superscript"/>
              </w:rPr>
              <w:t>al+pl</w:t>
            </w:r>
          </w:p>
        </w:tc>
        <w:tc>
          <w:tcPr>
            <w:tcW w:w="767" w:type="dxa"/>
            <w:vAlign w:val="center"/>
          </w:tcPr>
          <w:p>
            <w:pPr>
              <w:spacing w:line="180" w:lineRule="exact"/>
              <w:jc w:val="center"/>
              <w:rPr>
                <w:rFonts w:hint="eastAsia"/>
                <w:bCs/>
                <w:sz w:val="18"/>
                <w:szCs w:val="18"/>
              </w:rPr>
            </w:pPr>
            <w:r>
              <w:rPr>
                <w:rFonts w:hint="eastAsia"/>
                <w:bCs/>
                <w:sz w:val="18"/>
                <w:szCs w:val="18"/>
              </w:rPr>
              <w:t>全场地</w:t>
            </w:r>
          </w:p>
        </w:tc>
        <w:tc>
          <w:tcPr>
            <w:tcW w:w="866" w:type="dxa"/>
            <w:vAlign w:val="center"/>
          </w:tcPr>
          <w:p>
            <w:pPr>
              <w:spacing w:line="180" w:lineRule="exact"/>
              <w:jc w:val="center"/>
              <w:rPr>
                <w:rFonts w:hint="eastAsia"/>
                <w:bCs/>
                <w:sz w:val="18"/>
                <w:szCs w:val="18"/>
              </w:rPr>
            </w:pPr>
            <w:r>
              <w:rPr>
                <w:rFonts w:hint="eastAsia"/>
                <w:bCs/>
                <w:sz w:val="18"/>
                <w:szCs w:val="18"/>
              </w:rPr>
              <w:t>0.4~3.1</w:t>
            </w:r>
          </w:p>
        </w:tc>
        <w:tc>
          <w:tcPr>
            <w:tcW w:w="866" w:type="dxa"/>
            <w:vAlign w:val="center"/>
          </w:tcPr>
          <w:p>
            <w:pPr>
              <w:spacing w:line="180" w:lineRule="exact"/>
              <w:jc w:val="center"/>
              <w:rPr>
                <w:rFonts w:hint="eastAsia"/>
                <w:bCs/>
                <w:sz w:val="18"/>
                <w:szCs w:val="18"/>
              </w:rPr>
            </w:pPr>
            <w:r>
              <w:rPr>
                <w:rFonts w:hint="eastAsia"/>
                <w:bCs/>
                <w:sz w:val="18"/>
                <w:szCs w:val="18"/>
              </w:rPr>
              <w:t>1.3~7.5</w:t>
            </w:r>
          </w:p>
        </w:tc>
        <w:tc>
          <w:tcPr>
            <w:tcW w:w="676" w:type="dxa"/>
            <w:vAlign w:val="center"/>
          </w:tcPr>
          <w:p>
            <w:pPr>
              <w:spacing w:line="180" w:lineRule="exact"/>
              <w:jc w:val="center"/>
              <w:rPr>
                <w:rFonts w:hint="eastAsia"/>
                <w:bCs/>
                <w:sz w:val="18"/>
                <w:szCs w:val="18"/>
              </w:rPr>
            </w:pPr>
            <w:r>
              <w:rPr>
                <w:rFonts w:hint="eastAsia"/>
                <w:bCs/>
                <w:sz w:val="18"/>
                <w:szCs w:val="18"/>
              </w:rPr>
              <w:t>黄褐~褐黄色</w:t>
            </w:r>
          </w:p>
        </w:tc>
        <w:tc>
          <w:tcPr>
            <w:tcW w:w="726" w:type="dxa"/>
            <w:tcBorders>
              <w:left w:val="single" w:color="auto" w:sz="6" w:space="0"/>
            </w:tcBorders>
            <w:vAlign w:val="center"/>
          </w:tcPr>
          <w:p>
            <w:pPr>
              <w:spacing w:line="180" w:lineRule="exact"/>
              <w:jc w:val="center"/>
              <w:rPr>
                <w:rFonts w:hint="eastAsia"/>
                <w:bCs/>
                <w:sz w:val="18"/>
                <w:szCs w:val="18"/>
              </w:rPr>
            </w:pPr>
            <w:r>
              <w:rPr>
                <w:rFonts w:hint="eastAsia"/>
                <w:bCs/>
                <w:sz w:val="18"/>
                <w:szCs w:val="18"/>
              </w:rPr>
              <w:t>硬塑</w:t>
            </w:r>
          </w:p>
        </w:tc>
        <w:tc>
          <w:tcPr>
            <w:tcW w:w="735" w:type="dxa"/>
            <w:vAlign w:val="center"/>
          </w:tcPr>
          <w:p>
            <w:pPr>
              <w:spacing w:line="180" w:lineRule="exact"/>
              <w:jc w:val="center"/>
              <w:rPr>
                <w:rFonts w:hint="eastAsia"/>
                <w:bCs/>
                <w:sz w:val="18"/>
                <w:szCs w:val="18"/>
              </w:rPr>
            </w:pPr>
            <w:r>
              <w:rPr>
                <w:rFonts w:hint="eastAsia"/>
                <w:bCs/>
                <w:sz w:val="18"/>
                <w:szCs w:val="18"/>
              </w:rPr>
              <w:t>中偏低</w:t>
            </w:r>
          </w:p>
        </w:tc>
        <w:tc>
          <w:tcPr>
            <w:tcW w:w="2672" w:type="dxa"/>
            <w:vAlign w:val="center"/>
          </w:tcPr>
          <w:p>
            <w:pPr>
              <w:spacing w:line="180" w:lineRule="exact"/>
              <w:rPr>
                <w:rFonts w:hint="eastAsia"/>
                <w:bCs/>
                <w:sz w:val="18"/>
                <w:szCs w:val="18"/>
              </w:rPr>
            </w:pPr>
            <w:r>
              <w:rPr>
                <w:rFonts w:hint="eastAsia"/>
                <w:bCs/>
                <w:sz w:val="18"/>
                <w:szCs w:val="18"/>
              </w:rPr>
              <w:t>含氧化铁、铁锰质结核及少量灰白色高岭土团块，土质均匀，干强度高，韧性中等。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45" w:type="dxa"/>
            <w:bottom w:w="28" w:type="dxa"/>
            <w:right w:w="45" w:type="dxa"/>
          </w:tblCellMar>
        </w:tblPrEx>
        <w:trPr>
          <w:cantSplit/>
          <w:trHeight w:val="464" w:hRule="atLeast"/>
        </w:trPr>
        <w:tc>
          <w:tcPr>
            <w:tcW w:w="908" w:type="dxa"/>
            <w:vAlign w:val="center"/>
          </w:tcPr>
          <w:p>
            <w:pPr>
              <w:spacing w:line="180" w:lineRule="exact"/>
              <w:jc w:val="center"/>
              <w:rPr>
                <w:rFonts w:hint="eastAsia"/>
                <w:bCs/>
                <w:sz w:val="18"/>
                <w:szCs w:val="18"/>
              </w:rPr>
            </w:pPr>
            <w:r>
              <w:rPr>
                <w:rFonts w:hint="eastAsia"/>
                <w:bCs/>
                <w:sz w:val="18"/>
                <w:szCs w:val="18"/>
              </w:rPr>
              <w:t>(3-2)粘土</w:t>
            </w:r>
          </w:p>
        </w:tc>
        <w:tc>
          <w:tcPr>
            <w:tcW w:w="661" w:type="dxa"/>
            <w:vMerge w:val="continue"/>
            <w:shd w:val="clear" w:color="auto" w:fill="auto"/>
            <w:vAlign w:val="center"/>
          </w:tcPr>
          <w:p>
            <w:pPr>
              <w:spacing w:line="180" w:lineRule="exact"/>
              <w:jc w:val="center"/>
              <w:rPr>
                <w:rFonts w:hint="eastAsia"/>
                <w:bCs/>
                <w:sz w:val="18"/>
                <w:szCs w:val="18"/>
              </w:rPr>
            </w:pPr>
          </w:p>
        </w:tc>
        <w:tc>
          <w:tcPr>
            <w:tcW w:w="767" w:type="dxa"/>
            <w:vAlign w:val="center"/>
          </w:tcPr>
          <w:p>
            <w:pPr>
              <w:spacing w:line="180" w:lineRule="exact"/>
              <w:jc w:val="center"/>
              <w:rPr>
                <w:rFonts w:hint="eastAsia"/>
                <w:bCs/>
                <w:sz w:val="18"/>
                <w:szCs w:val="18"/>
              </w:rPr>
            </w:pPr>
            <w:r>
              <w:rPr>
                <w:rFonts w:hint="eastAsia"/>
                <w:bCs/>
                <w:sz w:val="18"/>
                <w:szCs w:val="18"/>
              </w:rPr>
              <w:t>全场地</w:t>
            </w:r>
          </w:p>
        </w:tc>
        <w:tc>
          <w:tcPr>
            <w:tcW w:w="866" w:type="dxa"/>
            <w:vAlign w:val="center"/>
          </w:tcPr>
          <w:p>
            <w:pPr>
              <w:spacing w:line="180" w:lineRule="exact"/>
              <w:jc w:val="center"/>
              <w:rPr>
                <w:rFonts w:hint="eastAsia"/>
                <w:bCs/>
                <w:sz w:val="18"/>
                <w:szCs w:val="18"/>
              </w:rPr>
            </w:pPr>
            <w:r>
              <w:rPr>
                <w:rFonts w:hint="eastAsia"/>
                <w:bCs/>
                <w:sz w:val="18"/>
                <w:szCs w:val="18"/>
              </w:rPr>
              <w:t>2.6~7.9</w:t>
            </w:r>
          </w:p>
        </w:tc>
        <w:tc>
          <w:tcPr>
            <w:tcW w:w="866" w:type="dxa"/>
            <w:vAlign w:val="center"/>
          </w:tcPr>
          <w:p>
            <w:pPr>
              <w:spacing w:line="180" w:lineRule="exact"/>
              <w:jc w:val="center"/>
              <w:rPr>
                <w:rFonts w:hint="eastAsia"/>
                <w:bCs/>
                <w:sz w:val="18"/>
                <w:szCs w:val="18"/>
              </w:rPr>
            </w:pPr>
            <w:r>
              <w:rPr>
                <w:rFonts w:hint="eastAsia"/>
                <w:bCs/>
                <w:sz w:val="18"/>
                <w:szCs w:val="18"/>
              </w:rPr>
              <w:t>8.6~19.3</w:t>
            </w:r>
          </w:p>
        </w:tc>
        <w:tc>
          <w:tcPr>
            <w:tcW w:w="676" w:type="dxa"/>
            <w:vAlign w:val="center"/>
          </w:tcPr>
          <w:p>
            <w:pPr>
              <w:spacing w:line="180" w:lineRule="exact"/>
              <w:jc w:val="center"/>
              <w:rPr>
                <w:rFonts w:hint="eastAsia"/>
                <w:bCs/>
                <w:sz w:val="18"/>
                <w:szCs w:val="18"/>
              </w:rPr>
            </w:pPr>
            <w:r>
              <w:rPr>
                <w:rFonts w:hint="eastAsia"/>
                <w:bCs/>
                <w:sz w:val="18"/>
                <w:szCs w:val="18"/>
              </w:rPr>
              <w:t>褐黄色</w:t>
            </w:r>
          </w:p>
        </w:tc>
        <w:tc>
          <w:tcPr>
            <w:tcW w:w="726" w:type="dxa"/>
            <w:tcBorders>
              <w:left w:val="single" w:color="auto" w:sz="6" w:space="0"/>
            </w:tcBorders>
            <w:vAlign w:val="center"/>
          </w:tcPr>
          <w:p>
            <w:pPr>
              <w:spacing w:line="180" w:lineRule="exact"/>
              <w:jc w:val="center"/>
              <w:rPr>
                <w:rFonts w:hint="eastAsia"/>
                <w:bCs/>
                <w:sz w:val="18"/>
                <w:szCs w:val="18"/>
              </w:rPr>
            </w:pPr>
            <w:r>
              <w:rPr>
                <w:rFonts w:hint="eastAsia"/>
                <w:bCs/>
                <w:sz w:val="18"/>
                <w:szCs w:val="18"/>
              </w:rPr>
              <w:t>硬塑~坚硬</w:t>
            </w:r>
          </w:p>
        </w:tc>
        <w:tc>
          <w:tcPr>
            <w:tcW w:w="735" w:type="dxa"/>
            <w:vAlign w:val="center"/>
          </w:tcPr>
          <w:p>
            <w:pPr>
              <w:spacing w:line="180" w:lineRule="exact"/>
              <w:jc w:val="center"/>
              <w:rPr>
                <w:rFonts w:hint="eastAsia"/>
                <w:bCs/>
                <w:sz w:val="18"/>
                <w:szCs w:val="18"/>
              </w:rPr>
            </w:pPr>
            <w:r>
              <w:rPr>
                <w:rFonts w:hint="eastAsia"/>
                <w:bCs/>
                <w:sz w:val="18"/>
                <w:szCs w:val="18"/>
              </w:rPr>
              <w:t>中偏低</w:t>
            </w:r>
          </w:p>
        </w:tc>
        <w:tc>
          <w:tcPr>
            <w:tcW w:w="2672" w:type="dxa"/>
            <w:vAlign w:val="center"/>
          </w:tcPr>
          <w:p>
            <w:pPr>
              <w:spacing w:line="180" w:lineRule="exact"/>
              <w:rPr>
                <w:rFonts w:hint="eastAsia"/>
                <w:bCs/>
                <w:sz w:val="18"/>
                <w:szCs w:val="18"/>
              </w:rPr>
            </w:pPr>
            <w:r>
              <w:rPr>
                <w:rFonts w:hint="eastAsia"/>
                <w:bCs/>
                <w:sz w:val="18"/>
                <w:szCs w:val="18"/>
              </w:rPr>
              <w:t>含铁锰质及锰结核，夹条带状及团块状灰白色高岭土，土质均匀，干强度高，韧性较好。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45" w:type="dxa"/>
            <w:bottom w:w="28" w:type="dxa"/>
            <w:right w:w="45" w:type="dxa"/>
          </w:tblCellMar>
        </w:tblPrEx>
        <w:trPr>
          <w:cantSplit/>
          <w:trHeight w:val="486" w:hRule="atLeast"/>
        </w:trPr>
        <w:tc>
          <w:tcPr>
            <w:tcW w:w="908" w:type="dxa"/>
            <w:vAlign w:val="center"/>
          </w:tcPr>
          <w:p>
            <w:pPr>
              <w:spacing w:line="180" w:lineRule="exact"/>
              <w:jc w:val="center"/>
              <w:rPr>
                <w:rFonts w:hint="eastAsia"/>
                <w:bCs/>
                <w:sz w:val="18"/>
                <w:szCs w:val="18"/>
              </w:rPr>
            </w:pPr>
            <w:r>
              <w:rPr>
                <w:rFonts w:hint="eastAsia"/>
                <w:bCs/>
                <w:sz w:val="18"/>
                <w:szCs w:val="18"/>
              </w:rPr>
              <w:t>(3a)粉质粘土</w:t>
            </w:r>
          </w:p>
        </w:tc>
        <w:tc>
          <w:tcPr>
            <w:tcW w:w="661" w:type="dxa"/>
            <w:vMerge w:val="continue"/>
            <w:shd w:val="clear" w:color="auto" w:fill="auto"/>
            <w:vAlign w:val="center"/>
          </w:tcPr>
          <w:p>
            <w:pPr>
              <w:spacing w:line="180" w:lineRule="exact"/>
              <w:jc w:val="center"/>
              <w:rPr>
                <w:rFonts w:hint="eastAsia"/>
                <w:bCs/>
                <w:sz w:val="18"/>
                <w:szCs w:val="18"/>
              </w:rPr>
            </w:pPr>
          </w:p>
        </w:tc>
        <w:tc>
          <w:tcPr>
            <w:tcW w:w="767" w:type="dxa"/>
            <w:vAlign w:val="center"/>
          </w:tcPr>
          <w:p>
            <w:pPr>
              <w:spacing w:line="180" w:lineRule="exact"/>
              <w:jc w:val="center"/>
              <w:rPr>
                <w:rFonts w:hint="eastAsia"/>
                <w:bCs/>
                <w:sz w:val="18"/>
                <w:szCs w:val="18"/>
              </w:rPr>
            </w:pPr>
            <w:r>
              <w:rPr>
                <w:rFonts w:hint="eastAsia"/>
                <w:bCs/>
                <w:sz w:val="18"/>
                <w:szCs w:val="18"/>
              </w:rPr>
              <w:t>透镜体</w:t>
            </w:r>
          </w:p>
        </w:tc>
        <w:tc>
          <w:tcPr>
            <w:tcW w:w="866" w:type="dxa"/>
            <w:vAlign w:val="center"/>
          </w:tcPr>
          <w:p>
            <w:pPr>
              <w:spacing w:line="180" w:lineRule="exact"/>
              <w:jc w:val="center"/>
              <w:rPr>
                <w:rFonts w:hint="eastAsia"/>
                <w:bCs/>
                <w:sz w:val="18"/>
                <w:szCs w:val="18"/>
              </w:rPr>
            </w:pPr>
            <w:r>
              <w:rPr>
                <w:rFonts w:hint="eastAsia"/>
                <w:bCs/>
                <w:sz w:val="18"/>
                <w:szCs w:val="18"/>
              </w:rPr>
              <w:t>3.7~17.2</w:t>
            </w:r>
          </w:p>
        </w:tc>
        <w:tc>
          <w:tcPr>
            <w:tcW w:w="866" w:type="dxa"/>
            <w:vAlign w:val="center"/>
          </w:tcPr>
          <w:p>
            <w:pPr>
              <w:spacing w:line="180" w:lineRule="exact"/>
              <w:jc w:val="center"/>
              <w:rPr>
                <w:rFonts w:hint="eastAsia"/>
                <w:bCs/>
                <w:sz w:val="18"/>
                <w:szCs w:val="18"/>
              </w:rPr>
            </w:pPr>
            <w:r>
              <w:rPr>
                <w:rFonts w:hint="eastAsia"/>
                <w:bCs/>
                <w:sz w:val="18"/>
                <w:szCs w:val="18"/>
              </w:rPr>
              <w:t>0.6~2.6</w:t>
            </w:r>
          </w:p>
        </w:tc>
        <w:tc>
          <w:tcPr>
            <w:tcW w:w="676" w:type="dxa"/>
            <w:vAlign w:val="center"/>
          </w:tcPr>
          <w:p>
            <w:pPr>
              <w:spacing w:line="180" w:lineRule="exact"/>
              <w:jc w:val="center"/>
              <w:rPr>
                <w:rFonts w:hint="eastAsia"/>
                <w:bCs/>
                <w:sz w:val="18"/>
                <w:szCs w:val="18"/>
              </w:rPr>
            </w:pPr>
            <w:r>
              <w:rPr>
                <w:rFonts w:hint="eastAsia"/>
                <w:bCs/>
                <w:sz w:val="18"/>
                <w:szCs w:val="18"/>
              </w:rPr>
              <w:t>褐黄色</w:t>
            </w:r>
          </w:p>
        </w:tc>
        <w:tc>
          <w:tcPr>
            <w:tcW w:w="726" w:type="dxa"/>
            <w:tcBorders>
              <w:left w:val="single" w:color="auto" w:sz="6" w:space="0"/>
            </w:tcBorders>
            <w:vAlign w:val="center"/>
          </w:tcPr>
          <w:p>
            <w:pPr>
              <w:spacing w:line="180" w:lineRule="exact"/>
              <w:jc w:val="center"/>
              <w:rPr>
                <w:rFonts w:hint="eastAsia"/>
                <w:bCs/>
                <w:sz w:val="18"/>
                <w:szCs w:val="18"/>
              </w:rPr>
            </w:pPr>
            <w:r>
              <w:rPr>
                <w:rFonts w:hint="eastAsia"/>
                <w:bCs/>
                <w:sz w:val="18"/>
                <w:szCs w:val="18"/>
              </w:rPr>
              <w:t>可~硬塑</w:t>
            </w:r>
          </w:p>
        </w:tc>
        <w:tc>
          <w:tcPr>
            <w:tcW w:w="735" w:type="dxa"/>
            <w:vAlign w:val="center"/>
          </w:tcPr>
          <w:p>
            <w:pPr>
              <w:spacing w:line="180" w:lineRule="exact"/>
              <w:jc w:val="center"/>
              <w:rPr>
                <w:rFonts w:hint="eastAsia"/>
                <w:bCs/>
                <w:sz w:val="18"/>
                <w:szCs w:val="18"/>
              </w:rPr>
            </w:pPr>
            <w:r>
              <w:rPr>
                <w:rFonts w:hint="eastAsia"/>
                <w:bCs/>
                <w:sz w:val="18"/>
                <w:szCs w:val="18"/>
              </w:rPr>
              <w:t>中</w:t>
            </w:r>
          </w:p>
        </w:tc>
        <w:tc>
          <w:tcPr>
            <w:tcW w:w="2672" w:type="dxa"/>
            <w:vAlign w:val="center"/>
          </w:tcPr>
          <w:p>
            <w:pPr>
              <w:spacing w:line="180" w:lineRule="exact"/>
              <w:rPr>
                <w:rFonts w:hint="eastAsia"/>
                <w:bCs/>
                <w:sz w:val="18"/>
                <w:szCs w:val="18"/>
              </w:rPr>
            </w:pPr>
            <w:r>
              <w:rPr>
                <w:rFonts w:hint="eastAsia"/>
                <w:bCs/>
                <w:sz w:val="18"/>
                <w:szCs w:val="18"/>
              </w:rPr>
              <w:t>该层为透镜体层，主要成分为粘性土，土质均匀，含少量铁锰质。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45" w:type="dxa"/>
            <w:bottom w:w="28" w:type="dxa"/>
            <w:right w:w="45" w:type="dxa"/>
          </w:tblCellMar>
        </w:tblPrEx>
        <w:trPr>
          <w:cantSplit/>
          <w:trHeight w:val="499" w:hRule="atLeast"/>
        </w:trPr>
        <w:tc>
          <w:tcPr>
            <w:tcW w:w="908" w:type="dxa"/>
            <w:vAlign w:val="center"/>
          </w:tcPr>
          <w:p>
            <w:pPr>
              <w:spacing w:line="180" w:lineRule="exact"/>
              <w:jc w:val="center"/>
              <w:rPr>
                <w:rFonts w:hint="eastAsia"/>
                <w:bCs/>
                <w:sz w:val="18"/>
                <w:szCs w:val="18"/>
              </w:rPr>
            </w:pPr>
            <w:r>
              <w:rPr>
                <w:rFonts w:hint="eastAsia"/>
                <w:bCs/>
                <w:sz w:val="18"/>
                <w:szCs w:val="18"/>
              </w:rPr>
              <w:t>(4)粘土夹碎石</w:t>
            </w:r>
          </w:p>
        </w:tc>
        <w:tc>
          <w:tcPr>
            <w:tcW w:w="661" w:type="dxa"/>
            <w:vMerge w:val="continue"/>
            <w:shd w:val="clear" w:color="auto" w:fill="auto"/>
            <w:vAlign w:val="center"/>
          </w:tcPr>
          <w:p>
            <w:pPr>
              <w:spacing w:line="180" w:lineRule="exact"/>
              <w:jc w:val="center"/>
              <w:rPr>
                <w:rFonts w:hint="eastAsia"/>
                <w:bCs/>
                <w:sz w:val="18"/>
                <w:szCs w:val="18"/>
              </w:rPr>
            </w:pPr>
          </w:p>
        </w:tc>
        <w:tc>
          <w:tcPr>
            <w:tcW w:w="767" w:type="dxa"/>
            <w:vAlign w:val="center"/>
          </w:tcPr>
          <w:p>
            <w:pPr>
              <w:spacing w:line="180" w:lineRule="exact"/>
              <w:jc w:val="center"/>
              <w:rPr>
                <w:rFonts w:hint="eastAsia"/>
                <w:bCs/>
                <w:sz w:val="18"/>
                <w:szCs w:val="18"/>
              </w:rPr>
            </w:pPr>
            <w:r>
              <w:rPr>
                <w:rFonts w:hint="eastAsia"/>
                <w:bCs/>
                <w:sz w:val="18"/>
                <w:szCs w:val="18"/>
              </w:rPr>
              <w:t>全场地</w:t>
            </w:r>
          </w:p>
        </w:tc>
        <w:tc>
          <w:tcPr>
            <w:tcW w:w="866" w:type="dxa"/>
            <w:vAlign w:val="center"/>
          </w:tcPr>
          <w:p>
            <w:pPr>
              <w:spacing w:line="180" w:lineRule="exact"/>
              <w:jc w:val="center"/>
              <w:rPr>
                <w:rFonts w:hint="eastAsia"/>
                <w:bCs/>
                <w:sz w:val="18"/>
                <w:szCs w:val="18"/>
              </w:rPr>
            </w:pPr>
            <w:r>
              <w:rPr>
                <w:rFonts w:hint="eastAsia"/>
                <w:bCs/>
                <w:sz w:val="18"/>
                <w:szCs w:val="18"/>
              </w:rPr>
              <w:t>15.8~24.8</w:t>
            </w:r>
          </w:p>
        </w:tc>
        <w:tc>
          <w:tcPr>
            <w:tcW w:w="866" w:type="dxa"/>
            <w:vAlign w:val="center"/>
          </w:tcPr>
          <w:p>
            <w:pPr>
              <w:spacing w:line="180" w:lineRule="exact"/>
              <w:jc w:val="center"/>
              <w:rPr>
                <w:rFonts w:hint="eastAsia"/>
                <w:bCs/>
                <w:sz w:val="18"/>
                <w:szCs w:val="18"/>
              </w:rPr>
            </w:pPr>
            <w:r>
              <w:rPr>
                <w:rFonts w:hint="eastAsia"/>
                <w:bCs/>
                <w:sz w:val="18"/>
                <w:szCs w:val="18"/>
              </w:rPr>
              <w:t>0.4~4.1</w:t>
            </w:r>
          </w:p>
        </w:tc>
        <w:tc>
          <w:tcPr>
            <w:tcW w:w="676" w:type="dxa"/>
            <w:vAlign w:val="center"/>
          </w:tcPr>
          <w:p>
            <w:pPr>
              <w:spacing w:line="180" w:lineRule="exact"/>
              <w:jc w:val="center"/>
              <w:rPr>
                <w:rFonts w:hint="eastAsia"/>
                <w:bCs/>
                <w:sz w:val="18"/>
                <w:szCs w:val="18"/>
              </w:rPr>
            </w:pPr>
            <w:r>
              <w:rPr>
                <w:rFonts w:hint="eastAsia"/>
                <w:bCs/>
                <w:sz w:val="18"/>
                <w:szCs w:val="18"/>
              </w:rPr>
              <w:t>褐黄色</w:t>
            </w:r>
          </w:p>
        </w:tc>
        <w:tc>
          <w:tcPr>
            <w:tcW w:w="726" w:type="dxa"/>
            <w:tcBorders>
              <w:left w:val="single" w:color="auto" w:sz="6" w:space="0"/>
            </w:tcBorders>
            <w:vAlign w:val="center"/>
          </w:tcPr>
          <w:p>
            <w:pPr>
              <w:spacing w:line="180" w:lineRule="exact"/>
              <w:jc w:val="center"/>
              <w:rPr>
                <w:rFonts w:hint="eastAsia"/>
                <w:bCs/>
                <w:sz w:val="18"/>
                <w:szCs w:val="18"/>
              </w:rPr>
            </w:pPr>
            <w:r>
              <w:rPr>
                <w:rFonts w:hint="eastAsia"/>
                <w:bCs/>
                <w:sz w:val="18"/>
                <w:szCs w:val="18"/>
              </w:rPr>
              <w:t>硬塑~坚硬</w:t>
            </w:r>
          </w:p>
        </w:tc>
        <w:tc>
          <w:tcPr>
            <w:tcW w:w="735" w:type="dxa"/>
            <w:vAlign w:val="center"/>
          </w:tcPr>
          <w:p>
            <w:pPr>
              <w:spacing w:line="180" w:lineRule="exact"/>
              <w:jc w:val="center"/>
              <w:rPr>
                <w:rFonts w:hint="eastAsia"/>
                <w:bCs/>
                <w:sz w:val="18"/>
                <w:szCs w:val="18"/>
              </w:rPr>
            </w:pPr>
            <w:r>
              <w:rPr>
                <w:rFonts w:hint="eastAsia"/>
                <w:bCs/>
                <w:sz w:val="18"/>
                <w:szCs w:val="18"/>
              </w:rPr>
              <w:t>低</w:t>
            </w:r>
          </w:p>
        </w:tc>
        <w:tc>
          <w:tcPr>
            <w:tcW w:w="2672" w:type="dxa"/>
            <w:vAlign w:val="center"/>
          </w:tcPr>
          <w:p>
            <w:pPr>
              <w:spacing w:line="180" w:lineRule="exact"/>
              <w:rPr>
                <w:rFonts w:hint="eastAsia"/>
                <w:bCs/>
                <w:sz w:val="18"/>
                <w:szCs w:val="18"/>
              </w:rPr>
            </w:pPr>
            <w:r>
              <w:rPr>
                <w:rFonts w:hint="eastAsia"/>
                <w:bCs/>
                <w:sz w:val="18"/>
                <w:szCs w:val="18"/>
              </w:rPr>
              <w:t>碎石含量约5~10%，成份以石英砂岩为主，呈次圆状，粒径3~5cm，含氧化铁及铁锰质结核，土质不均。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45" w:type="dxa"/>
            <w:bottom w:w="28" w:type="dxa"/>
            <w:right w:w="45" w:type="dxa"/>
          </w:tblCellMar>
        </w:tblPrEx>
        <w:trPr>
          <w:cantSplit/>
          <w:trHeight w:val="342" w:hRule="atLeast"/>
        </w:trPr>
        <w:tc>
          <w:tcPr>
            <w:tcW w:w="908" w:type="dxa"/>
            <w:vAlign w:val="center"/>
          </w:tcPr>
          <w:p>
            <w:pPr>
              <w:spacing w:line="180" w:lineRule="exact"/>
              <w:jc w:val="center"/>
              <w:rPr>
                <w:rFonts w:hint="eastAsia"/>
                <w:bCs/>
                <w:sz w:val="18"/>
                <w:szCs w:val="18"/>
              </w:rPr>
            </w:pPr>
            <w:r>
              <w:rPr>
                <w:rFonts w:hint="eastAsia"/>
                <w:bCs/>
                <w:sz w:val="18"/>
                <w:szCs w:val="18"/>
              </w:rPr>
              <w:t>(5-1)强风化泥岩</w:t>
            </w:r>
          </w:p>
        </w:tc>
        <w:tc>
          <w:tcPr>
            <w:tcW w:w="661" w:type="dxa"/>
            <w:vMerge w:val="restart"/>
            <w:vAlign w:val="center"/>
          </w:tcPr>
          <w:p>
            <w:pPr>
              <w:spacing w:line="180" w:lineRule="exact"/>
              <w:jc w:val="center"/>
              <w:rPr>
                <w:rFonts w:hint="eastAsia"/>
                <w:bCs/>
                <w:sz w:val="18"/>
                <w:szCs w:val="18"/>
              </w:rPr>
            </w:pPr>
            <w:r>
              <w:rPr>
                <w:rFonts w:hint="eastAsia"/>
                <w:bCs/>
                <w:sz w:val="18"/>
                <w:szCs w:val="18"/>
              </w:rPr>
              <w:t>S</w:t>
            </w:r>
            <w:r>
              <w:rPr>
                <w:rFonts w:hint="eastAsia"/>
                <w:bCs/>
                <w:sz w:val="18"/>
                <w:szCs w:val="18"/>
                <w:vertAlign w:val="subscript"/>
              </w:rPr>
              <w:t>2f</w:t>
            </w:r>
          </w:p>
        </w:tc>
        <w:tc>
          <w:tcPr>
            <w:tcW w:w="767" w:type="dxa"/>
            <w:vAlign w:val="center"/>
          </w:tcPr>
          <w:p>
            <w:pPr>
              <w:spacing w:line="180" w:lineRule="exact"/>
              <w:jc w:val="center"/>
              <w:rPr>
                <w:rFonts w:hint="eastAsia"/>
                <w:bCs/>
                <w:sz w:val="18"/>
                <w:szCs w:val="18"/>
              </w:rPr>
            </w:pPr>
            <w:r>
              <w:rPr>
                <w:rFonts w:hint="eastAsia"/>
                <w:bCs/>
                <w:sz w:val="18"/>
                <w:szCs w:val="18"/>
              </w:rPr>
              <w:t>全场地</w:t>
            </w:r>
          </w:p>
        </w:tc>
        <w:tc>
          <w:tcPr>
            <w:tcW w:w="866" w:type="dxa"/>
            <w:vAlign w:val="center"/>
          </w:tcPr>
          <w:p>
            <w:pPr>
              <w:spacing w:line="180" w:lineRule="exact"/>
              <w:jc w:val="center"/>
              <w:rPr>
                <w:rFonts w:hint="eastAsia"/>
                <w:bCs/>
                <w:sz w:val="18"/>
                <w:szCs w:val="18"/>
              </w:rPr>
            </w:pPr>
            <w:r>
              <w:rPr>
                <w:rFonts w:hint="eastAsia"/>
                <w:bCs/>
                <w:sz w:val="18"/>
                <w:szCs w:val="18"/>
              </w:rPr>
              <w:t>18.1~27.3</w:t>
            </w:r>
          </w:p>
        </w:tc>
        <w:tc>
          <w:tcPr>
            <w:tcW w:w="866" w:type="dxa"/>
            <w:vAlign w:val="center"/>
          </w:tcPr>
          <w:p>
            <w:pPr>
              <w:spacing w:line="180" w:lineRule="exact"/>
              <w:jc w:val="center"/>
              <w:rPr>
                <w:rFonts w:hint="eastAsia"/>
                <w:bCs/>
                <w:sz w:val="18"/>
                <w:szCs w:val="18"/>
              </w:rPr>
            </w:pPr>
            <w:r>
              <w:rPr>
                <w:rFonts w:hint="eastAsia"/>
                <w:bCs/>
                <w:sz w:val="18"/>
                <w:szCs w:val="18"/>
              </w:rPr>
              <w:t>1.9~6.3</w:t>
            </w:r>
          </w:p>
        </w:tc>
        <w:tc>
          <w:tcPr>
            <w:tcW w:w="676" w:type="dxa"/>
            <w:vAlign w:val="center"/>
          </w:tcPr>
          <w:p>
            <w:pPr>
              <w:spacing w:line="180" w:lineRule="exact"/>
              <w:jc w:val="center"/>
              <w:rPr>
                <w:rFonts w:hint="eastAsia"/>
                <w:bCs/>
                <w:sz w:val="18"/>
                <w:szCs w:val="18"/>
              </w:rPr>
            </w:pPr>
            <w:r>
              <w:rPr>
                <w:rFonts w:hint="eastAsia"/>
                <w:bCs/>
                <w:sz w:val="18"/>
                <w:szCs w:val="18"/>
              </w:rPr>
              <w:t>褐黄色</w:t>
            </w:r>
          </w:p>
        </w:tc>
        <w:tc>
          <w:tcPr>
            <w:tcW w:w="726" w:type="dxa"/>
            <w:tcBorders>
              <w:left w:val="single" w:color="auto" w:sz="6" w:space="0"/>
            </w:tcBorders>
            <w:vAlign w:val="center"/>
          </w:tcPr>
          <w:p>
            <w:pPr>
              <w:spacing w:line="180" w:lineRule="exact"/>
              <w:jc w:val="center"/>
              <w:rPr>
                <w:rFonts w:hint="eastAsia"/>
                <w:bCs/>
                <w:sz w:val="18"/>
                <w:szCs w:val="18"/>
              </w:rPr>
            </w:pPr>
            <w:r>
              <w:rPr>
                <w:rFonts w:hint="eastAsia"/>
                <w:bCs/>
                <w:sz w:val="18"/>
                <w:szCs w:val="18"/>
              </w:rPr>
              <w:t xml:space="preserve"> 强风化</w:t>
            </w:r>
          </w:p>
        </w:tc>
        <w:tc>
          <w:tcPr>
            <w:tcW w:w="735" w:type="dxa"/>
            <w:tcBorders>
              <w:left w:val="single" w:color="auto" w:sz="6" w:space="0"/>
            </w:tcBorders>
            <w:vAlign w:val="center"/>
          </w:tcPr>
          <w:p>
            <w:pPr>
              <w:spacing w:line="180" w:lineRule="exact"/>
              <w:jc w:val="center"/>
              <w:rPr>
                <w:rFonts w:hint="eastAsia"/>
                <w:bCs/>
                <w:sz w:val="18"/>
                <w:szCs w:val="18"/>
              </w:rPr>
            </w:pPr>
            <w:r>
              <w:rPr>
                <w:rFonts w:hint="eastAsia"/>
                <w:bCs/>
                <w:sz w:val="18"/>
                <w:szCs w:val="18"/>
              </w:rPr>
              <w:t>低</w:t>
            </w:r>
          </w:p>
        </w:tc>
        <w:tc>
          <w:tcPr>
            <w:tcW w:w="2672" w:type="dxa"/>
            <w:vAlign w:val="center"/>
          </w:tcPr>
          <w:p>
            <w:pPr>
              <w:spacing w:line="180" w:lineRule="exact"/>
              <w:rPr>
                <w:rFonts w:hint="eastAsia"/>
                <w:bCs/>
                <w:sz w:val="18"/>
                <w:szCs w:val="18"/>
              </w:rPr>
            </w:pPr>
            <w:r>
              <w:rPr>
                <w:rFonts w:hint="eastAsia"/>
                <w:bCs/>
                <w:sz w:val="18"/>
                <w:szCs w:val="18"/>
              </w:rPr>
              <w:t>岩芯风化完全多呈泥土状，局部夹少量原岩碎块，手捏易碎，土质不均。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45" w:type="dxa"/>
            <w:bottom w:w="28" w:type="dxa"/>
            <w:right w:w="45" w:type="dxa"/>
          </w:tblCellMar>
        </w:tblPrEx>
        <w:trPr>
          <w:cantSplit/>
          <w:trHeight w:val="753" w:hRule="atLeast"/>
        </w:trPr>
        <w:tc>
          <w:tcPr>
            <w:tcW w:w="908" w:type="dxa"/>
            <w:vAlign w:val="center"/>
          </w:tcPr>
          <w:p>
            <w:pPr>
              <w:spacing w:line="180" w:lineRule="exact"/>
              <w:jc w:val="center"/>
              <w:rPr>
                <w:rFonts w:hint="eastAsia"/>
                <w:bCs/>
                <w:sz w:val="18"/>
                <w:szCs w:val="18"/>
              </w:rPr>
            </w:pPr>
            <w:r>
              <w:rPr>
                <w:rFonts w:hint="eastAsia"/>
                <w:bCs/>
                <w:sz w:val="18"/>
                <w:szCs w:val="18"/>
              </w:rPr>
              <w:t>(5-2)中风化泥岩</w:t>
            </w:r>
          </w:p>
        </w:tc>
        <w:tc>
          <w:tcPr>
            <w:tcW w:w="661" w:type="dxa"/>
            <w:vMerge w:val="continue"/>
            <w:vAlign w:val="center"/>
          </w:tcPr>
          <w:p>
            <w:pPr>
              <w:spacing w:line="180" w:lineRule="exact"/>
              <w:jc w:val="center"/>
              <w:rPr>
                <w:rFonts w:hint="eastAsia"/>
                <w:bCs/>
                <w:sz w:val="18"/>
                <w:szCs w:val="18"/>
              </w:rPr>
            </w:pPr>
          </w:p>
        </w:tc>
        <w:tc>
          <w:tcPr>
            <w:tcW w:w="767" w:type="dxa"/>
            <w:vAlign w:val="center"/>
          </w:tcPr>
          <w:p>
            <w:pPr>
              <w:spacing w:line="180" w:lineRule="exact"/>
              <w:jc w:val="center"/>
              <w:rPr>
                <w:rFonts w:hint="eastAsia"/>
                <w:bCs/>
                <w:sz w:val="18"/>
                <w:szCs w:val="18"/>
              </w:rPr>
            </w:pPr>
            <w:r>
              <w:rPr>
                <w:rFonts w:hint="eastAsia"/>
                <w:bCs/>
                <w:sz w:val="18"/>
                <w:szCs w:val="18"/>
              </w:rPr>
              <w:t>全场地</w:t>
            </w:r>
          </w:p>
        </w:tc>
        <w:tc>
          <w:tcPr>
            <w:tcW w:w="866" w:type="dxa"/>
            <w:vAlign w:val="center"/>
          </w:tcPr>
          <w:p>
            <w:pPr>
              <w:spacing w:line="180" w:lineRule="exact"/>
              <w:jc w:val="center"/>
              <w:rPr>
                <w:rFonts w:hint="eastAsia"/>
                <w:bCs/>
                <w:sz w:val="18"/>
                <w:szCs w:val="18"/>
              </w:rPr>
            </w:pPr>
            <w:r>
              <w:rPr>
                <w:rFonts w:hint="eastAsia"/>
                <w:bCs/>
                <w:sz w:val="18"/>
                <w:szCs w:val="18"/>
              </w:rPr>
              <w:t>21.2~29.7</w:t>
            </w:r>
          </w:p>
        </w:tc>
        <w:tc>
          <w:tcPr>
            <w:tcW w:w="866" w:type="dxa"/>
            <w:vAlign w:val="center"/>
          </w:tcPr>
          <w:p>
            <w:pPr>
              <w:spacing w:line="180" w:lineRule="exact"/>
              <w:jc w:val="center"/>
              <w:rPr>
                <w:rFonts w:hint="eastAsia"/>
                <w:bCs/>
                <w:sz w:val="18"/>
                <w:szCs w:val="18"/>
              </w:rPr>
            </w:pPr>
            <w:r>
              <w:rPr>
                <w:rFonts w:hint="eastAsia"/>
                <w:bCs/>
                <w:sz w:val="18"/>
                <w:szCs w:val="18"/>
              </w:rPr>
              <w:t>最大揭露厚度13.2</w:t>
            </w:r>
          </w:p>
        </w:tc>
        <w:tc>
          <w:tcPr>
            <w:tcW w:w="676" w:type="dxa"/>
            <w:vAlign w:val="center"/>
          </w:tcPr>
          <w:p>
            <w:pPr>
              <w:spacing w:line="180" w:lineRule="exact"/>
              <w:jc w:val="center"/>
              <w:rPr>
                <w:rFonts w:hint="eastAsia"/>
                <w:bCs/>
                <w:sz w:val="18"/>
                <w:szCs w:val="18"/>
              </w:rPr>
            </w:pPr>
            <w:r>
              <w:rPr>
                <w:rFonts w:hint="eastAsia"/>
                <w:bCs/>
                <w:sz w:val="18"/>
                <w:szCs w:val="18"/>
              </w:rPr>
              <w:t>褐黄~青灰色</w:t>
            </w:r>
          </w:p>
        </w:tc>
        <w:tc>
          <w:tcPr>
            <w:tcW w:w="1461" w:type="dxa"/>
            <w:gridSpan w:val="2"/>
            <w:tcBorders>
              <w:left w:val="single" w:color="auto" w:sz="6" w:space="0"/>
            </w:tcBorders>
            <w:vAlign w:val="center"/>
          </w:tcPr>
          <w:p>
            <w:pPr>
              <w:spacing w:line="180" w:lineRule="exact"/>
              <w:jc w:val="center"/>
              <w:rPr>
                <w:rFonts w:hint="eastAsia"/>
                <w:bCs/>
                <w:sz w:val="18"/>
                <w:szCs w:val="18"/>
              </w:rPr>
            </w:pPr>
            <w:r>
              <w:rPr>
                <w:rFonts w:hint="eastAsia"/>
                <w:bCs/>
                <w:sz w:val="18"/>
                <w:szCs w:val="18"/>
              </w:rPr>
              <w:t>视为不可压缩</w:t>
            </w:r>
          </w:p>
        </w:tc>
        <w:tc>
          <w:tcPr>
            <w:tcW w:w="2672" w:type="dxa"/>
            <w:vAlign w:val="center"/>
          </w:tcPr>
          <w:p>
            <w:pPr>
              <w:spacing w:line="180" w:lineRule="exact"/>
              <w:rPr>
                <w:rFonts w:hint="eastAsia"/>
                <w:bCs/>
                <w:sz w:val="18"/>
                <w:szCs w:val="18"/>
              </w:rPr>
            </w:pPr>
            <w:r>
              <w:rPr>
                <w:rFonts w:hint="eastAsia"/>
                <w:bCs/>
                <w:sz w:val="18"/>
                <w:szCs w:val="18"/>
              </w:rPr>
              <w:t>岩芯多呈块状及少量短柱状，裂隙发育，泥质结构，取芯率约65~75%，较破碎，属极软岩，岩石质量等级V级，RQD偏低。</w:t>
            </w:r>
          </w:p>
        </w:tc>
      </w:tr>
    </w:tbl>
    <w:p>
      <w:pPr>
        <w:tabs>
          <w:tab w:val="left" w:pos="1080"/>
        </w:tabs>
        <w:spacing w:line="360" w:lineRule="auto"/>
        <w:ind w:firstLine="352" w:firstLineChars="146"/>
        <w:outlineLvl w:val="2"/>
        <w:rPr>
          <w:rFonts w:ascii="宋体"/>
          <w:b/>
          <w:sz w:val="24"/>
        </w:rPr>
      </w:pPr>
      <w:r>
        <w:rPr>
          <w:rFonts w:ascii="宋体" w:hAnsi="宋体"/>
          <w:b/>
          <w:sz w:val="24"/>
        </w:rPr>
        <w:t>1.2.2</w:t>
      </w:r>
      <w:r>
        <w:rPr>
          <w:rFonts w:hint="eastAsia" w:ascii="宋体" w:hAnsi="宋体"/>
          <w:b/>
          <w:sz w:val="24"/>
        </w:rPr>
        <w:t>场地特殊岩土及不良地质现象</w:t>
      </w:r>
      <w:bookmarkEnd w:id="8"/>
    </w:p>
    <w:p>
      <w:pPr>
        <w:spacing w:line="600" w:lineRule="exact"/>
        <w:ind w:left="700"/>
        <w:rPr>
          <w:rFonts w:hint="eastAsia"/>
          <w:bCs/>
          <w:sz w:val="24"/>
        </w:rPr>
      </w:pPr>
      <w:r>
        <w:rPr>
          <w:rFonts w:hint="eastAsia"/>
          <w:bCs/>
          <w:sz w:val="24"/>
        </w:rPr>
        <w:t>(1)层耕表土，土质不均，结构松散，工程性能差。</w:t>
      </w:r>
    </w:p>
    <w:p>
      <w:pPr>
        <w:spacing w:line="600" w:lineRule="exact"/>
        <w:ind w:firstLine="600" w:firstLineChars="250"/>
        <w:rPr>
          <w:rFonts w:hint="eastAsia"/>
          <w:bCs/>
          <w:sz w:val="24"/>
        </w:rPr>
      </w:pPr>
      <w:r>
        <w:rPr>
          <w:rFonts w:hint="eastAsia"/>
          <w:bCs/>
          <w:sz w:val="24"/>
        </w:rPr>
        <w:t>(1a)层淤泥，土质不均，高压缩性，工程性能差。</w:t>
      </w:r>
    </w:p>
    <w:p>
      <w:pPr>
        <w:spacing w:line="600" w:lineRule="exact"/>
        <w:ind w:left="700"/>
        <w:rPr>
          <w:rFonts w:hint="eastAsia"/>
          <w:bCs/>
          <w:sz w:val="24"/>
        </w:rPr>
      </w:pPr>
      <w:r>
        <w:rPr>
          <w:rFonts w:hint="eastAsia"/>
          <w:bCs/>
          <w:sz w:val="24"/>
        </w:rPr>
        <w:t>(2)层粉质粘土，呈可塑状态，中压缩性，工程性能一般。</w:t>
      </w:r>
    </w:p>
    <w:p>
      <w:pPr>
        <w:spacing w:line="600" w:lineRule="exact"/>
        <w:ind w:firstLine="600" w:firstLineChars="250"/>
        <w:rPr>
          <w:rFonts w:hint="eastAsia"/>
          <w:bCs/>
          <w:sz w:val="24"/>
        </w:rPr>
      </w:pPr>
      <w:r>
        <w:rPr>
          <w:rFonts w:hint="eastAsia"/>
          <w:bCs/>
          <w:sz w:val="24"/>
        </w:rPr>
        <w:t>(3-1)层粉质粘土，呈硬塑状态，中偏低压缩性，工程性能较好；</w:t>
      </w:r>
    </w:p>
    <w:p>
      <w:pPr>
        <w:spacing w:line="600" w:lineRule="exact"/>
        <w:ind w:firstLine="600" w:firstLineChars="250"/>
        <w:rPr>
          <w:rFonts w:hint="eastAsia"/>
          <w:bCs/>
          <w:sz w:val="24"/>
        </w:rPr>
      </w:pPr>
      <w:r>
        <w:rPr>
          <w:rFonts w:hint="eastAsia"/>
          <w:bCs/>
          <w:sz w:val="24"/>
        </w:rPr>
        <w:t xml:space="preserve"> (3-2)层粘土，呈硬塑~坚硬状态，低压缩性，工程性能好；是良好的天然地基持力层。</w:t>
      </w:r>
    </w:p>
    <w:p>
      <w:pPr>
        <w:spacing w:line="600" w:lineRule="exact"/>
        <w:ind w:firstLine="600" w:firstLineChars="250"/>
        <w:rPr>
          <w:rFonts w:hint="eastAsia"/>
          <w:bCs/>
          <w:sz w:val="24"/>
        </w:rPr>
      </w:pPr>
      <w:r>
        <w:rPr>
          <w:rFonts w:hint="eastAsia"/>
          <w:bCs/>
          <w:sz w:val="24"/>
        </w:rPr>
        <w:t>(3a)层粉质粘土，为分布于（3）层中透镜体，呈可~硬塑状态，分布无规律。</w:t>
      </w:r>
    </w:p>
    <w:p>
      <w:pPr>
        <w:spacing w:line="600" w:lineRule="exact"/>
        <w:ind w:firstLine="600" w:firstLineChars="250"/>
        <w:rPr>
          <w:rFonts w:hint="eastAsia"/>
          <w:bCs/>
          <w:sz w:val="24"/>
        </w:rPr>
      </w:pPr>
      <w:r>
        <w:rPr>
          <w:rFonts w:hint="eastAsia"/>
          <w:bCs/>
          <w:sz w:val="24"/>
        </w:rPr>
        <w:t>(4)粘土夹碎石，呈硬塑~坚硬状态，低压缩性，工程性能好。</w:t>
      </w:r>
    </w:p>
    <w:p>
      <w:pPr>
        <w:spacing w:line="600" w:lineRule="exact"/>
        <w:ind w:firstLine="600" w:firstLineChars="250"/>
        <w:rPr>
          <w:rFonts w:hint="eastAsia"/>
          <w:bCs/>
          <w:sz w:val="24"/>
        </w:rPr>
      </w:pPr>
      <w:r>
        <w:rPr>
          <w:rFonts w:hint="eastAsia"/>
          <w:bCs/>
          <w:sz w:val="24"/>
        </w:rPr>
        <w:t>(5-1)强风化泥岩，低压缩性，遇水易软化，工程性能较好。</w:t>
      </w:r>
    </w:p>
    <w:p>
      <w:pPr>
        <w:spacing w:line="600" w:lineRule="exact"/>
        <w:ind w:firstLine="600" w:firstLineChars="250"/>
        <w:rPr>
          <w:rFonts w:hint="eastAsia"/>
          <w:bCs/>
          <w:sz w:val="24"/>
        </w:rPr>
      </w:pPr>
      <w:r>
        <w:rPr>
          <w:rFonts w:hint="eastAsia"/>
          <w:bCs/>
          <w:sz w:val="24"/>
        </w:rPr>
        <w:t>(5-2)中风化泥岩，视为不可压缩，为本次勘察所揭露工程性能最好的地层。是良好的桩基持力层。</w:t>
      </w:r>
    </w:p>
    <w:p>
      <w:pPr>
        <w:tabs>
          <w:tab w:val="left" w:pos="1080"/>
        </w:tabs>
        <w:spacing w:line="360" w:lineRule="auto"/>
        <w:ind w:firstLine="354" w:firstLineChars="147"/>
        <w:rPr>
          <w:rFonts w:ascii="宋体"/>
          <w:b/>
          <w:bCs/>
          <w:sz w:val="24"/>
        </w:rPr>
      </w:pPr>
      <w:r>
        <w:rPr>
          <w:rFonts w:ascii="宋体" w:hAnsi="宋体"/>
          <w:b/>
          <w:bCs/>
          <w:sz w:val="24"/>
        </w:rPr>
        <w:t>1.2.3</w:t>
      </w:r>
      <w:r>
        <w:rPr>
          <w:rFonts w:hint="eastAsia" w:ascii="宋体" w:hAnsi="宋体"/>
          <w:b/>
          <w:bCs/>
          <w:sz w:val="24"/>
        </w:rPr>
        <w:t>场地水文地质条件</w:t>
      </w:r>
    </w:p>
    <w:p>
      <w:pPr>
        <w:spacing w:line="600" w:lineRule="exact"/>
        <w:ind w:firstLine="629"/>
        <w:rPr>
          <w:sz w:val="28"/>
          <w:szCs w:val="32"/>
        </w:rPr>
      </w:pPr>
      <w:bookmarkStart w:id="9" w:name="_Toc353351855"/>
      <w:r>
        <w:rPr>
          <w:rFonts w:hint="eastAsia"/>
          <w:sz w:val="28"/>
          <w:szCs w:val="28"/>
        </w:rPr>
        <w:t>本场地地下水类型可分为二类：</w:t>
      </w:r>
      <w:r>
        <w:rPr>
          <w:rFonts w:hint="eastAsia"/>
          <w:sz w:val="28"/>
          <w:szCs w:val="32"/>
        </w:rPr>
        <w:t>一类为赋存于</w:t>
      </w:r>
      <w:r>
        <w:rPr>
          <w:sz w:val="28"/>
          <w:szCs w:val="32"/>
        </w:rPr>
        <w:t>(1)</w:t>
      </w:r>
      <w:r>
        <w:rPr>
          <w:rFonts w:hint="eastAsia"/>
          <w:sz w:val="28"/>
          <w:szCs w:val="32"/>
        </w:rPr>
        <w:t>层耕表土的上层滞水，其水位、水量随季节变化，由大气降水及人工排水补给；勘察期间，测得部分钻孔上层滞水稳定水位埋深为0.2～0.7米，相应标高为20.97~21.06米。第二类为赋存于（5-2）层中风化泥岩中的基岩裂隙水，水量小，无统一水位，对工程基本无影响，故未测量其水位。</w:t>
      </w:r>
    </w:p>
    <w:p>
      <w:pPr>
        <w:pStyle w:val="3"/>
        <w:spacing w:before="0" w:after="0" w:line="600" w:lineRule="exact"/>
        <w:rPr>
          <w:rFonts w:hint="eastAsia"/>
          <w:sz w:val="28"/>
          <w:szCs w:val="28"/>
        </w:rPr>
      </w:pPr>
      <w:bookmarkStart w:id="10" w:name="_Toc432459424"/>
      <w:r>
        <w:rPr>
          <w:rFonts w:hint="eastAsia"/>
          <w:sz w:val="28"/>
          <w:szCs w:val="28"/>
        </w:rPr>
        <w:t>4.2 地下水和场地土的腐蚀性</w:t>
      </w:r>
      <w:bookmarkEnd w:id="10"/>
    </w:p>
    <w:p>
      <w:pPr>
        <w:spacing w:line="560" w:lineRule="exact"/>
        <w:ind w:firstLine="560" w:firstLineChars="200"/>
        <w:rPr>
          <w:rFonts w:hint="eastAsia"/>
          <w:spacing w:val="-2"/>
          <w:sz w:val="28"/>
          <w:szCs w:val="28"/>
        </w:rPr>
      </w:pPr>
      <w:r>
        <w:rPr>
          <w:rFonts w:hint="eastAsia"/>
          <w:sz w:val="28"/>
          <w:szCs w:val="28"/>
        </w:rPr>
        <w:t>场地在历史上未建过有污染源的厂矿企业，亦未被污染源入侵，土质无异味，地下水埋藏较浅，水体交换条件较好，地表植被生长良好，环境类型为</w:t>
      </w:r>
      <w:r>
        <w:rPr>
          <w:sz w:val="28"/>
          <w:szCs w:val="28"/>
        </w:rPr>
        <w:fldChar w:fldCharType="begin"/>
      </w:r>
      <w:r>
        <w:rPr>
          <w:sz w:val="28"/>
          <w:szCs w:val="28"/>
        </w:rPr>
        <w:instrText xml:space="preserve"> </w:instrText>
      </w:r>
      <w:r>
        <w:rPr>
          <w:rFonts w:hint="eastAsia"/>
          <w:sz w:val="28"/>
          <w:szCs w:val="28"/>
        </w:rPr>
        <w:instrText xml:space="preserve">= 2 \* ROMAN</w:instrText>
      </w:r>
      <w:r>
        <w:rPr>
          <w:sz w:val="28"/>
          <w:szCs w:val="28"/>
        </w:rPr>
        <w:instrText xml:space="preserve"> </w:instrText>
      </w:r>
      <w:r>
        <w:rPr>
          <w:sz w:val="28"/>
          <w:szCs w:val="28"/>
        </w:rPr>
        <w:fldChar w:fldCharType="separate"/>
      </w:r>
      <w:r>
        <w:rPr>
          <w:sz w:val="28"/>
          <w:szCs w:val="28"/>
        </w:rPr>
        <w:t>II</w:t>
      </w:r>
      <w:r>
        <w:rPr>
          <w:sz w:val="28"/>
          <w:szCs w:val="28"/>
        </w:rPr>
        <w:fldChar w:fldCharType="end"/>
      </w:r>
      <w:r>
        <w:rPr>
          <w:rFonts w:hint="eastAsia"/>
          <w:sz w:val="28"/>
          <w:szCs w:val="28"/>
        </w:rPr>
        <w:t>类，</w:t>
      </w:r>
      <w:r>
        <w:rPr>
          <w:rFonts w:hint="eastAsia"/>
          <w:spacing w:val="-2"/>
          <w:sz w:val="28"/>
          <w:szCs w:val="28"/>
        </w:rPr>
        <w:t>本场地地下水和地基土对混凝土及钢筋混凝土结构中钢筋具微腐蚀性。</w:t>
      </w:r>
    </w:p>
    <w:p>
      <w:pPr>
        <w:rPr>
          <w:rFonts w:hint="eastAsia"/>
        </w:rPr>
      </w:pPr>
    </w:p>
    <w:p>
      <w:pPr>
        <w:spacing w:line="360" w:lineRule="auto"/>
        <w:ind w:firstLine="482" w:firstLineChars="200"/>
        <w:outlineLvl w:val="2"/>
        <w:rPr>
          <w:rFonts w:ascii="宋体"/>
          <w:b/>
          <w:sz w:val="24"/>
        </w:rPr>
      </w:pPr>
      <w:r>
        <w:rPr>
          <w:rFonts w:ascii="宋体" w:hAnsi="宋体"/>
          <w:b/>
          <w:sz w:val="24"/>
        </w:rPr>
        <w:t xml:space="preserve">1.2.2 </w:t>
      </w:r>
      <w:r>
        <w:rPr>
          <w:rFonts w:hint="eastAsia" w:ascii="宋体" w:hAnsi="宋体"/>
          <w:b/>
          <w:sz w:val="24"/>
        </w:rPr>
        <w:t>气象特征</w:t>
      </w:r>
      <w:bookmarkEnd w:id="9"/>
    </w:p>
    <w:p>
      <w:pPr>
        <w:spacing w:line="360" w:lineRule="auto"/>
        <w:rPr>
          <w:sz w:val="24"/>
        </w:rPr>
      </w:pPr>
      <w:r>
        <w:rPr>
          <w:sz w:val="24"/>
        </w:rPr>
        <w:t xml:space="preserve">    </w:t>
      </w:r>
      <w:r>
        <w:rPr>
          <w:rFonts w:hint="eastAsia"/>
          <w:sz w:val="24"/>
        </w:rPr>
        <w:t>拟建项目所长区域属北亚热带湿润季风气候，特点是季风明显，四级分明，全年气候温暖湿润，雨量充沛，湿度较大，日照充足，雨热同季，无霜期长。冬夏温差显著，气候多变，降水年际变化大。</w:t>
      </w:r>
    </w:p>
    <w:p>
      <w:pPr>
        <w:spacing w:line="360" w:lineRule="auto"/>
        <w:ind w:firstLine="480" w:firstLineChars="200"/>
        <w:rPr>
          <w:sz w:val="24"/>
        </w:rPr>
      </w:pPr>
      <w:r>
        <w:rPr>
          <w:rFonts w:hint="eastAsia"/>
          <w:sz w:val="24"/>
        </w:rPr>
        <w:t>区域内多年平均气温为</w:t>
      </w:r>
      <w:r>
        <w:rPr>
          <w:sz w:val="24"/>
        </w:rPr>
        <w:t>16.2</w:t>
      </w:r>
      <w:r>
        <w:rPr>
          <w:rFonts w:hint="eastAsia"/>
          <w:sz w:val="24"/>
        </w:rPr>
        <w:t>℃，历史极端最高气温为</w:t>
      </w:r>
      <w:r>
        <w:rPr>
          <w:sz w:val="24"/>
        </w:rPr>
        <w:t>40.2</w:t>
      </w:r>
      <w:r>
        <w:rPr>
          <w:rFonts w:hint="eastAsia"/>
          <w:sz w:val="24"/>
        </w:rPr>
        <w:t>℃，历史极端最低温度为</w:t>
      </w:r>
      <w:r>
        <w:rPr>
          <w:sz w:val="24"/>
        </w:rPr>
        <w:t>-15.9</w:t>
      </w:r>
      <w:r>
        <w:rPr>
          <w:rFonts w:hint="eastAsia"/>
          <w:sz w:val="24"/>
        </w:rPr>
        <w:t>℃。</w:t>
      </w:r>
    </w:p>
    <w:p>
      <w:pPr>
        <w:spacing w:line="360" w:lineRule="auto"/>
        <w:ind w:firstLine="480" w:firstLineChars="200"/>
        <w:rPr>
          <w:sz w:val="24"/>
        </w:rPr>
      </w:pPr>
      <w:r>
        <w:rPr>
          <w:rFonts w:hint="eastAsia"/>
          <w:sz w:val="24"/>
        </w:rPr>
        <w:t>年平均降雨量为</w:t>
      </w:r>
      <w:r>
        <w:rPr>
          <w:sz w:val="24"/>
        </w:rPr>
        <w:t>1364.4mm</w:t>
      </w:r>
      <w:r>
        <w:rPr>
          <w:rFonts w:hint="eastAsia"/>
          <w:sz w:val="24"/>
        </w:rPr>
        <w:t>，主要集中在</w:t>
      </w:r>
      <w:r>
        <w:rPr>
          <w:sz w:val="24"/>
        </w:rPr>
        <w:t>4</w:t>
      </w:r>
      <w:r>
        <w:rPr>
          <w:rFonts w:hint="eastAsia"/>
          <w:sz w:val="24"/>
        </w:rPr>
        <w:t>～</w:t>
      </w:r>
      <w:r>
        <w:rPr>
          <w:sz w:val="24"/>
        </w:rPr>
        <w:t>10</w:t>
      </w:r>
      <w:r>
        <w:rPr>
          <w:rFonts w:hint="eastAsia"/>
          <w:sz w:val="24"/>
        </w:rPr>
        <w:t>月，占全年降水的</w:t>
      </w:r>
      <w:r>
        <w:rPr>
          <w:sz w:val="24"/>
        </w:rPr>
        <w:t>75%</w:t>
      </w:r>
      <w:r>
        <w:rPr>
          <w:rFonts w:hint="eastAsia"/>
          <w:sz w:val="24"/>
        </w:rPr>
        <w:t>，此期间降水量又集中于汛期（</w:t>
      </w:r>
      <w:r>
        <w:rPr>
          <w:sz w:val="24"/>
        </w:rPr>
        <w:t>5</w:t>
      </w:r>
      <w:r>
        <w:rPr>
          <w:rFonts w:hint="eastAsia"/>
          <w:sz w:val="24"/>
        </w:rPr>
        <w:t>～</w:t>
      </w:r>
      <w:r>
        <w:rPr>
          <w:sz w:val="24"/>
        </w:rPr>
        <w:t>9</w:t>
      </w:r>
      <w:r>
        <w:rPr>
          <w:rFonts w:hint="eastAsia"/>
          <w:sz w:val="24"/>
        </w:rPr>
        <w:t>月），可达</w:t>
      </w:r>
      <w:r>
        <w:rPr>
          <w:sz w:val="24"/>
        </w:rPr>
        <w:t>804.7mm</w:t>
      </w:r>
      <w:r>
        <w:rPr>
          <w:rFonts w:hint="eastAsia"/>
          <w:sz w:val="24"/>
        </w:rPr>
        <w:t>，占全年降水的</w:t>
      </w:r>
      <w:r>
        <w:rPr>
          <w:sz w:val="24"/>
        </w:rPr>
        <w:t>60%</w:t>
      </w:r>
      <w:r>
        <w:rPr>
          <w:rFonts w:hint="eastAsia"/>
          <w:sz w:val="24"/>
        </w:rPr>
        <w:t>左右。年平均无霜期</w:t>
      </w:r>
      <w:r>
        <w:rPr>
          <w:sz w:val="24"/>
        </w:rPr>
        <w:t>258</w:t>
      </w:r>
      <w:r>
        <w:rPr>
          <w:rFonts w:hint="eastAsia"/>
          <w:sz w:val="24"/>
        </w:rPr>
        <w:t>天。年平均日照时数为</w:t>
      </w:r>
      <w:r>
        <w:rPr>
          <w:sz w:val="24"/>
        </w:rPr>
        <w:t>2064.7</w:t>
      </w:r>
      <w:r>
        <w:rPr>
          <w:rFonts w:hint="eastAsia"/>
          <w:sz w:val="24"/>
        </w:rPr>
        <w:t>小时，占全年可照时数的</w:t>
      </w:r>
      <w:r>
        <w:rPr>
          <w:sz w:val="24"/>
        </w:rPr>
        <w:t>46%</w:t>
      </w:r>
      <w:r>
        <w:rPr>
          <w:rFonts w:hint="eastAsia"/>
          <w:sz w:val="24"/>
        </w:rPr>
        <w:t>。</w:t>
      </w:r>
    </w:p>
    <w:p>
      <w:pPr>
        <w:spacing w:line="360" w:lineRule="auto"/>
        <w:ind w:firstLine="480" w:firstLineChars="200"/>
        <w:rPr>
          <w:sz w:val="24"/>
        </w:rPr>
      </w:pPr>
      <w:r>
        <w:rPr>
          <w:rFonts w:hint="eastAsia"/>
          <w:sz w:val="24"/>
        </w:rPr>
        <w:t>工程属季气候区，风向有明显的季节变化，冬季以偏北风为主，夏季以偏南风为主。年平均风速为</w:t>
      </w:r>
      <w:r>
        <w:rPr>
          <w:sz w:val="24"/>
        </w:rPr>
        <w:t>3.1</w:t>
      </w:r>
      <w:r>
        <w:rPr>
          <w:rFonts w:hint="eastAsia"/>
          <w:sz w:val="24"/>
        </w:rPr>
        <w:t>米</w:t>
      </w:r>
      <w:r>
        <w:rPr>
          <w:sz w:val="24"/>
        </w:rPr>
        <w:t>/</w:t>
      </w:r>
      <w:r>
        <w:rPr>
          <w:rFonts w:hint="eastAsia"/>
          <w:sz w:val="24"/>
        </w:rPr>
        <w:t>秒，</w:t>
      </w:r>
      <w:r>
        <w:rPr>
          <w:sz w:val="24"/>
        </w:rPr>
        <w:t>3</w:t>
      </w:r>
      <w:r>
        <w:rPr>
          <w:rFonts w:hint="eastAsia"/>
          <w:sz w:val="24"/>
        </w:rPr>
        <w:t>月份风速最大，为</w:t>
      </w:r>
      <w:r>
        <w:rPr>
          <w:sz w:val="24"/>
        </w:rPr>
        <w:t>3.6</w:t>
      </w:r>
      <w:r>
        <w:rPr>
          <w:rFonts w:hint="eastAsia"/>
          <w:sz w:val="24"/>
        </w:rPr>
        <w:t>米</w:t>
      </w:r>
      <w:r>
        <w:rPr>
          <w:sz w:val="24"/>
        </w:rPr>
        <w:t>/</w:t>
      </w:r>
      <w:r>
        <w:rPr>
          <w:rFonts w:hint="eastAsia"/>
          <w:sz w:val="24"/>
        </w:rPr>
        <w:t>秒，</w:t>
      </w:r>
      <w:r>
        <w:rPr>
          <w:sz w:val="24"/>
        </w:rPr>
        <w:t>11</w:t>
      </w:r>
      <w:r>
        <w:rPr>
          <w:rFonts w:hint="eastAsia"/>
          <w:sz w:val="24"/>
        </w:rPr>
        <w:t>月风速最小，为</w:t>
      </w:r>
      <w:r>
        <w:rPr>
          <w:sz w:val="24"/>
        </w:rPr>
        <w:t>2.9</w:t>
      </w:r>
      <w:r>
        <w:rPr>
          <w:rFonts w:hint="eastAsia"/>
          <w:sz w:val="24"/>
        </w:rPr>
        <w:t>米</w:t>
      </w:r>
      <w:r>
        <w:rPr>
          <w:sz w:val="24"/>
        </w:rPr>
        <w:t>/</w:t>
      </w:r>
      <w:r>
        <w:rPr>
          <w:rFonts w:hint="eastAsia"/>
          <w:sz w:val="24"/>
        </w:rPr>
        <w:t>秒。</w:t>
      </w:r>
    </w:p>
    <w:p>
      <w:pPr>
        <w:spacing w:line="360" w:lineRule="auto"/>
        <w:outlineLvl w:val="1"/>
        <w:rPr>
          <w:rFonts w:ascii="宋体"/>
          <w:b/>
          <w:sz w:val="28"/>
          <w:szCs w:val="28"/>
        </w:rPr>
      </w:pPr>
      <w:bookmarkStart w:id="11" w:name="_Toc353351856"/>
      <w:bookmarkStart w:id="12" w:name="_Toc350517625"/>
      <w:r>
        <w:rPr>
          <w:rFonts w:ascii="宋体" w:hAnsi="宋体"/>
          <w:b/>
          <w:sz w:val="28"/>
          <w:szCs w:val="28"/>
        </w:rPr>
        <w:t>1.3</w:t>
      </w:r>
      <w:r>
        <w:rPr>
          <w:rFonts w:hint="eastAsia" w:ascii="宋体" w:hAnsi="宋体"/>
          <w:b/>
          <w:sz w:val="28"/>
          <w:szCs w:val="28"/>
        </w:rPr>
        <w:t>编制依据</w:t>
      </w:r>
      <w:bookmarkEnd w:id="11"/>
      <w:bookmarkEnd w:id="12"/>
    </w:p>
    <w:p>
      <w:pPr>
        <w:pStyle w:val="58"/>
        <w:spacing w:line="360" w:lineRule="auto"/>
        <w:ind w:firstLine="480"/>
        <w:rPr>
          <w:spacing w:val="0"/>
          <w:szCs w:val="24"/>
        </w:rPr>
      </w:pPr>
      <w:r>
        <w:rPr>
          <w:rFonts w:hint="eastAsia"/>
          <w:spacing w:val="0"/>
          <w:szCs w:val="24"/>
        </w:rPr>
        <w:t>《蔡甸碧桂园岩土工程勘察报告书》</w:t>
      </w:r>
    </w:p>
    <w:p>
      <w:pPr>
        <w:pStyle w:val="58"/>
        <w:spacing w:line="360" w:lineRule="auto"/>
        <w:ind w:firstLine="480"/>
        <w:rPr>
          <w:spacing w:val="0"/>
          <w:szCs w:val="24"/>
        </w:rPr>
      </w:pPr>
      <w:r>
        <w:rPr>
          <w:rFonts w:hint="eastAsia"/>
          <w:spacing w:val="0"/>
          <w:szCs w:val="24"/>
        </w:rPr>
        <w:t>《碧桂园学府壹号高层设计结构施工图》</w:t>
      </w:r>
    </w:p>
    <w:p>
      <w:pPr>
        <w:pStyle w:val="58"/>
        <w:spacing w:line="360" w:lineRule="auto"/>
        <w:ind w:firstLine="480"/>
        <w:rPr>
          <w:spacing w:val="0"/>
          <w:szCs w:val="24"/>
        </w:rPr>
      </w:pPr>
      <w:r>
        <w:rPr>
          <w:rFonts w:hint="eastAsia"/>
          <w:spacing w:val="0"/>
          <w:szCs w:val="24"/>
        </w:rPr>
        <w:t>《中华人民共和国安全生产法》（</w:t>
      </w:r>
      <w:r>
        <w:rPr>
          <w:spacing w:val="0"/>
          <w:szCs w:val="24"/>
        </w:rPr>
        <w:t>2002</w:t>
      </w:r>
      <w:r>
        <w:rPr>
          <w:rFonts w:hint="eastAsia"/>
          <w:spacing w:val="0"/>
          <w:szCs w:val="24"/>
        </w:rPr>
        <w:t>）</w:t>
      </w:r>
    </w:p>
    <w:p>
      <w:pPr>
        <w:pStyle w:val="58"/>
        <w:spacing w:line="360" w:lineRule="auto"/>
        <w:ind w:firstLine="480"/>
        <w:rPr>
          <w:spacing w:val="0"/>
          <w:szCs w:val="24"/>
        </w:rPr>
      </w:pPr>
      <w:r>
        <w:rPr>
          <w:rFonts w:hint="eastAsia"/>
          <w:spacing w:val="0"/>
          <w:szCs w:val="24"/>
        </w:rPr>
        <w:t>《水土保持法》（</w:t>
      </w:r>
      <w:r>
        <w:rPr>
          <w:spacing w:val="0"/>
          <w:szCs w:val="24"/>
        </w:rPr>
        <w:t>1991</w:t>
      </w:r>
      <w:r>
        <w:rPr>
          <w:rFonts w:hint="eastAsia"/>
          <w:spacing w:val="0"/>
          <w:szCs w:val="24"/>
        </w:rPr>
        <w:t>）</w:t>
      </w:r>
    </w:p>
    <w:p>
      <w:pPr>
        <w:pStyle w:val="58"/>
        <w:spacing w:line="360" w:lineRule="auto"/>
        <w:ind w:firstLine="480"/>
        <w:rPr>
          <w:spacing w:val="0"/>
          <w:szCs w:val="24"/>
        </w:rPr>
      </w:pPr>
      <w:r>
        <w:rPr>
          <w:rFonts w:hint="eastAsia"/>
          <w:spacing w:val="0"/>
          <w:szCs w:val="24"/>
        </w:rPr>
        <w:t>《环境保护法》（</w:t>
      </w:r>
      <w:r>
        <w:rPr>
          <w:spacing w:val="0"/>
          <w:szCs w:val="24"/>
        </w:rPr>
        <w:t>1989</w:t>
      </w:r>
      <w:r>
        <w:rPr>
          <w:rFonts w:hint="eastAsia"/>
          <w:spacing w:val="0"/>
          <w:szCs w:val="24"/>
        </w:rPr>
        <w:t>）</w:t>
      </w:r>
    </w:p>
    <w:p>
      <w:pPr>
        <w:pStyle w:val="58"/>
        <w:spacing w:line="360" w:lineRule="auto"/>
        <w:ind w:firstLine="480"/>
        <w:rPr>
          <w:spacing w:val="0"/>
          <w:szCs w:val="24"/>
        </w:rPr>
      </w:pPr>
      <w:r>
        <w:rPr>
          <w:rFonts w:hint="eastAsia"/>
          <w:spacing w:val="0"/>
          <w:szCs w:val="24"/>
        </w:rPr>
        <w:t>《水污染防治法》（</w:t>
      </w:r>
      <w:r>
        <w:rPr>
          <w:spacing w:val="0"/>
          <w:szCs w:val="24"/>
        </w:rPr>
        <w:t>1996</w:t>
      </w:r>
      <w:r>
        <w:rPr>
          <w:rFonts w:hint="eastAsia"/>
          <w:spacing w:val="0"/>
          <w:szCs w:val="24"/>
        </w:rPr>
        <w:t>）</w:t>
      </w:r>
    </w:p>
    <w:p>
      <w:pPr>
        <w:pStyle w:val="58"/>
        <w:spacing w:line="360" w:lineRule="auto"/>
        <w:ind w:firstLine="480"/>
        <w:rPr>
          <w:spacing w:val="0"/>
          <w:szCs w:val="24"/>
        </w:rPr>
      </w:pPr>
      <w:r>
        <w:rPr>
          <w:rFonts w:hint="eastAsia"/>
          <w:spacing w:val="0"/>
          <w:szCs w:val="24"/>
        </w:rPr>
        <w:t>《固体废物污染环境防治法》（</w:t>
      </w:r>
      <w:r>
        <w:rPr>
          <w:spacing w:val="0"/>
          <w:szCs w:val="24"/>
        </w:rPr>
        <w:t>1997</w:t>
      </w:r>
      <w:r>
        <w:rPr>
          <w:rFonts w:hint="eastAsia"/>
          <w:spacing w:val="0"/>
          <w:szCs w:val="24"/>
        </w:rPr>
        <w:t>）</w:t>
      </w:r>
    </w:p>
    <w:p>
      <w:pPr>
        <w:pStyle w:val="58"/>
        <w:spacing w:line="360" w:lineRule="auto"/>
        <w:ind w:firstLine="480"/>
        <w:rPr>
          <w:spacing w:val="0"/>
          <w:szCs w:val="24"/>
        </w:rPr>
      </w:pPr>
      <w:r>
        <w:rPr>
          <w:rFonts w:hint="eastAsia"/>
          <w:spacing w:val="0"/>
          <w:szCs w:val="24"/>
        </w:rPr>
        <w:t>《建筑桩基技术规范》</w:t>
      </w:r>
      <w:r>
        <w:rPr>
          <w:spacing w:val="0"/>
          <w:szCs w:val="24"/>
        </w:rPr>
        <w:t xml:space="preserve"> </w:t>
      </w:r>
      <w:r>
        <w:rPr>
          <w:rFonts w:hint="eastAsia"/>
          <w:spacing w:val="0"/>
          <w:szCs w:val="24"/>
        </w:rPr>
        <w:t>（</w:t>
      </w:r>
      <w:r>
        <w:rPr>
          <w:spacing w:val="0"/>
          <w:szCs w:val="24"/>
        </w:rPr>
        <w:t>JGJ94-2008</w:t>
      </w:r>
      <w:r>
        <w:rPr>
          <w:rFonts w:hint="eastAsia"/>
          <w:spacing w:val="0"/>
          <w:szCs w:val="24"/>
        </w:rPr>
        <w:t>）</w:t>
      </w:r>
      <w:r>
        <w:rPr>
          <w:spacing w:val="0"/>
          <w:szCs w:val="24"/>
        </w:rPr>
        <w:t xml:space="preserve">  </w:t>
      </w:r>
    </w:p>
    <w:p>
      <w:pPr>
        <w:spacing w:line="360" w:lineRule="auto"/>
        <w:ind w:left="481" w:leftChars="229"/>
        <w:rPr>
          <w:sz w:val="24"/>
        </w:rPr>
      </w:pPr>
      <w:r>
        <w:rPr>
          <w:rFonts w:hint="eastAsia"/>
          <w:sz w:val="24"/>
        </w:rPr>
        <w:t>《建筑地基基础工程施工质量验收规范》（</w:t>
      </w:r>
      <w:r>
        <w:rPr>
          <w:sz w:val="24"/>
        </w:rPr>
        <w:t>GB 50202-2002</w:t>
      </w:r>
      <w:r>
        <w:rPr>
          <w:rFonts w:hint="eastAsia"/>
          <w:sz w:val="24"/>
        </w:rPr>
        <w:t>）</w:t>
      </w:r>
      <w:r>
        <w:rPr>
          <w:sz w:val="24"/>
        </w:rPr>
        <w:br w:type="textWrapping"/>
      </w:r>
      <w:r>
        <w:rPr>
          <w:rFonts w:hint="eastAsia"/>
          <w:sz w:val="24"/>
        </w:rPr>
        <w:t>《建筑基桩检测技术规范》（</w:t>
      </w:r>
      <w:r>
        <w:rPr>
          <w:sz w:val="24"/>
        </w:rPr>
        <w:t>JGJ 106-2003</w:t>
      </w:r>
      <w:r>
        <w:rPr>
          <w:rFonts w:hint="eastAsia"/>
          <w:sz w:val="24"/>
        </w:rPr>
        <w:t>）</w:t>
      </w:r>
    </w:p>
    <w:p>
      <w:pPr>
        <w:spacing w:line="360" w:lineRule="auto"/>
        <w:ind w:left="481" w:leftChars="229"/>
        <w:rPr>
          <w:sz w:val="24"/>
        </w:rPr>
      </w:pPr>
      <w:r>
        <w:rPr>
          <w:rFonts w:hint="eastAsia"/>
          <w:sz w:val="24"/>
        </w:rPr>
        <w:t>《建筑地基处理技术规范》（</w:t>
      </w:r>
      <w:r>
        <w:rPr>
          <w:sz w:val="24"/>
        </w:rPr>
        <w:t>JGJ 79-2002</w:t>
      </w:r>
      <w:r>
        <w:rPr>
          <w:rFonts w:hint="eastAsia"/>
          <w:sz w:val="24"/>
        </w:rPr>
        <w:t>）</w:t>
      </w:r>
      <w:r>
        <w:rPr>
          <w:sz w:val="24"/>
        </w:rPr>
        <w:br w:type="textWrapping"/>
      </w:r>
      <w:r>
        <w:rPr>
          <w:rFonts w:hint="eastAsia"/>
          <w:sz w:val="24"/>
        </w:rPr>
        <w:t>《建筑基坑支护技术规程》（</w:t>
      </w:r>
      <w:r>
        <w:rPr>
          <w:sz w:val="24"/>
        </w:rPr>
        <w:t>JGJ 120-99</w:t>
      </w:r>
      <w:r>
        <w:rPr>
          <w:rFonts w:hint="eastAsia"/>
          <w:sz w:val="24"/>
        </w:rPr>
        <w:t>）</w:t>
      </w:r>
    </w:p>
    <w:p>
      <w:pPr>
        <w:spacing w:line="360" w:lineRule="auto"/>
        <w:ind w:left="481" w:leftChars="229"/>
        <w:rPr>
          <w:sz w:val="24"/>
        </w:rPr>
      </w:pPr>
      <w:r>
        <w:rPr>
          <w:rFonts w:hint="eastAsia"/>
          <w:sz w:val="24"/>
        </w:rPr>
        <w:t>《建筑地基基础设计规范》（</w:t>
      </w:r>
      <w:r>
        <w:rPr>
          <w:sz w:val="24"/>
        </w:rPr>
        <w:t>GB 50007--2002</w:t>
      </w:r>
      <w:r>
        <w:rPr>
          <w:rFonts w:hint="eastAsia"/>
          <w:sz w:val="24"/>
        </w:rPr>
        <w:t>）</w:t>
      </w:r>
    </w:p>
    <w:p>
      <w:pPr>
        <w:spacing w:line="360" w:lineRule="auto"/>
        <w:ind w:left="481" w:leftChars="229"/>
        <w:rPr>
          <w:sz w:val="24"/>
        </w:rPr>
      </w:pPr>
      <w:r>
        <w:rPr>
          <w:rFonts w:hint="eastAsia"/>
          <w:sz w:val="24"/>
        </w:rPr>
        <w:t>《建筑工基基础工程施工工艺标准》（</w:t>
      </w:r>
      <w:r>
        <w:rPr>
          <w:sz w:val="24"/>
        </w:rPr>
        <w:t>DBJ/T 61-29-2005</w:t>
      </w:r>
      <w:r>
        <w:rPr>
          <w:rFonts w:hint="eastAsia"/>
          <w:sz w:val="24"/>
        </w:rPr>
        <w:t>）</w:t>
      </w:r>
      <w:r>
        <w:rPr>
          <w:sz w:val="24"/>
        </w:rPr>
        <w:br w:type="textWrapping"/>
      </w:r>
      <w:r>
        <w:rPr>
          <w:rFonts w:hint="eastAsia"/>
          <w:sz w:val="24"/>
        </w:rPr>
        <w:t>《混凝土结构设计规范》（</w:t>
      </w:r>
      <w:r>
        <w:rPr>
          <w:sz w:val="24"/>
        </w:rPr>
        <w:t>GB 50010-2002</w:t>
      </w:r>
      <w:r>
        <w:rPr>
          <w:rFonts w:hint="eastAsia"/>
          <w:sz w:val="24"/>
        </w:rPr>
        <w:t>）</w:t>
      </w:r>
      <w:r>
        <w:rPr>
          <w:sz w:val="24"/>
        </w:rPr>
        <w:br w:type="textWrapping"/>
      </w:r>
      <w:r>
        <w:rPr>
          <w:rFonts w:hint="eastAsia"/>
          <w:sz w:val="24"/>
        </w:rPr>
        <w:t>《混凝土结构工程施工质量验收规范》（</w:t>
      </w:r>
      <w:r>
        <w:rPr>
          <w:sz w:val="24"/>
        </w:rPr>
        <w:t>GB 50204-2002</w:t>
      </w:r>
      <w:r>
        <w:rPr>
          <w:rFonts w:hint="eastAsia"/>
          <w:sz w:val="24"/>
        </w:rPr>
        <w:t>）</w:t>
      </w:r>
    </w:p>
    <w:p>
      <w:pPr>
        <w:spacing w:line="360" w:lineRule="auto"/>
        <w:ind w:left="481" w:leftChars="229"/>
        <w:rPr>
          <w:sz w:val="24"/>
        </w:rPr>
      </w:pPr>
      <w:r>
        <w:rPr>
          <w:rFonts w:hint="eastAsia"/>
          <w:sz w:val="24"/>
        </w:rPr>
        <w:t>《施工现场临时用电安全技术规范》（</w:t>
      </w:r>
      <w:r>
        <w:rPr>
          <w:sz w:val="24"/>
        </w:rPr>
        <w:t>JGJ 46-2005</w:t>
      </w:r>
      <w:r>
        <w:rPr>
          <w:rFonts w:hint="eastAsia"/>
          <w:sz w:val="24"/>
        </w:rPr>
        <w:t>）</w:t>
      </w:r>
    </w:p>
    <w:p>
      <w:pPr>
        <w:spacing w:line="360" w:lineRule="auto"/>
        <w:ind w:left="481" w:leftChars="229"/>
        <w:rPr>
          <w:sz w:val="24"/>
        </w:rPr>
      </w:pPr>
      <w:r>
        <w:rPr>
          <w:rFonts w:hint="eastAsia"/>
          <w:sz w:val="24"/>
        </w:rPr>
        <w:t>《建筑灭火器配置设计规范》（</w:t>
      </w:r>
      <w:r>
        <w:rPr>
          <w:sz w:val="24"/>
        </w:rPr>
        <w:t>GB 50140-2005</w:t>
      </w:r>
      <w:r>
        <w:rPr>
          <w:rFonts w:hint="eastAsia"/>
          <w:sz w:val="24"/>
        </w:rPr>
        <w:t>）</w:t>
      </w:r>
    </w:p>
    <w:p>
      <w:pPr>
        <w:spacing w:line="360" w:lineRule="auto"/>
        <w:ind w:left="481" w:leftChars="229"/>
        <w:rPr>
          <w:sz w:val="24"/>
        </w:rPr>
      </w:pPr>
      <w:r>
        <w:rPr>
          <w:rFonts w:hint="eastAsia"/>
          <w:sz w:val="24"/>
        </w:rPr>
        <w:t>《建筑工程施工现场消防安全技术规范》（</w:t>
      </w:r>
      <w:r>
        <w:rPr>
          <w:sz w:val="24"/>
        </w:rPr>
        <w:t>GB 50720-2011</w:t>
      </w:r>
      <w:r>
        <w:rPr>
          <w:rFonts w:hint="eastAsia"/>
          <w:sz w:val="24"/>
        </w:rPr>
        <w:t>）</w:t>
      </w:r>
    </w:p>
    <w:p>
      <w:pPr>
        <w:spacing w:line="360" w:lineRule="auto"/>
        <w:ind w:left="481" w:leftChars="229"/>
        <w:rPr>
          <w:sz w:val="24"/>
        </w:rPr>
      </w:pPr>
      <w:r>
        <w:rPr>
          <w:rFonts w:hint="eastAsia"/>
          <w:sz w:val="24"/>
        </w:rPr>
        <w:t>《工程测量规范》（</w:t>
      </w:r>
      <w:r>
        <w:rPr>
          <w:sz w:val="24"/>
        </w:rPr>
        <w:t>GB 50026-2007 )</w:t>
      </w:r>
    </w:p>
    <w:p>
      <w:pPr>
        <w:spacing w:line="360" w:lineRule="auto"/>
        <w:ind w:left="481" w:leftChars="229"/>
        <w:rPr>
          <w:sz w:val="24"/>
        </w:rPr>
      </w:pPr>
      <w:r>
        <w:rPr>
          <w:rFonts w:hint="eastAsia"/>
          <w:sz w:val="24"/>
        </w:rPr>
        <w:t>《建筑施工作业劳动保护用品配备及使用标准》</w:t>
      </w:r>
      <w:r>
        <w:rPr>
          <w:sz w:val="24"/>
        </w:rPr>
        <w:t>(JGJ 184-2009 )</w:t>
      </w:r>
    </w:p>
    <w:p>
      <w:pPr>
        <w:spacing w:line="360" w:lineRule="auto"/>
        <w:ind w:left="481" w:leftChars="229"/>
        <w:rPr>
          <w:sz w:val="24"/>
        </w:rPr>
      </w:pPr>
      <w:r>
        <w:rPr>
          <w:rFonts w:hint="eastAsia"/>
          <w:sz w:val="24"/>
        </w:rPr>
        <w:t>《建筑工程冬期施工规程》</w:t>
      </w:r>
      <w:r>
        <w:rPr>
          <w:sz w:val="24"/>
        </w:rPr>
        <w:t>(JGJ 104-2011)</w:t>
      </w:r>
    </w:p>
    <w:p>
      <w:pPr>
        <w:spacing w:line="360" w:lineRule="auto"/>
        <w:ind w:left="481" w:leftChars="229"/>
        <w:rPr>
          <w:sz w:val="24"/>
        </w:rPr>
      </w:pPr>
      <w:r>
        <w:rPr>
          <w:rFonts w:hint="eastAsia"/>
          <w:sz w:val="24"/>
        </w:rPr>
        <w:t>《建筑机械使用安全技术规程》</w:t>
      </w:r>
      <w:r>
        <w:rPr>
          <w:sz w:val="24"/>
        </w:rPr>
        <w:t>(JGJ 33-2001)</w:t>
      </w:r>
    </w:p>
    <w:p>
      <w:pPr>
        <w:pStyle w:val="58"/>
        <w:spacing w:line="360" w:lineRule="auto"/>
        <w:ind w:firstLine="480"/>
        <w:rPr>
          <w:spacing w:val="0"/>
          <w:szCs w:val="24"/>
        </w:rPr>
      </w:pPr>
      <w:r>
        <w:rPr>
          <w:rFonts w:hint="eastAsia"/>
          <w:spacing w:val="0"/>
          <w:szCs w:val="24"/>
        </w:rPr>
        <w:t>《钢筋混凝土用热轧带肋钢筋》（</w:t>
      </w:r>
      <w:r>
        <w:rPr>
          <w:spacing w:val="0"/>
          <w:szCs w:val="24"/>
        </w:rPr>
        <w:t>GB1499-1998</w:t>
      </w:r>
      <w:r>
        <w:rPr>
          <w:rFonts w:hint="eastAsia"/>
          <w:spacing w:val="0"/>
          <w:szCs w:val="24"/>
        </w:rPr>
        <w:t>）</w:t>
      </w:r>
    </w:p>
    <w:p>
      <w:pPr>
        <w:pStyle w:val="58"/>
        <w:spacing w:line="360" w:lineRule="auto"/>
        <w:ind w:firstLine="480"/>
        <w:rPr>
          <w:spacing w:val="0"/>
          <w:szCs w:val="24"/>
        </w:rPr>
      </w:pPr>
      <w:r>
        <w:rPr>
          <w:rFonts w:hint="eastAsia"/>
          <w:spacing w:val="0"/>
          <w:szCs w:val="24"/>
        </w:rPr>
        <w:t>《混凝土结构耐久性设计与施工指南》（中国土木工程学会标准</w:t>
      </w:r>
      <w:r>
        <w:rPr>
          <w:spacing w:val="0"/>
          <w:szCs w:val="24"/>
        </w:rPr>
        <w:t>CCES01-2004</w:t>
      </w:r>
      <w:r>
        <w:rPr>
          <w:rFonts w:hint="eastAsia"/>
          <w:spacing w:val="0"/>
          <w:szCs w:val="24"/>
        </w:rPr>
        <w:t>）</w:t>
      </w:r>
    </w:p>
    <w:p>
      <w:pPr>
        <w:pStyle w:val="58"/>
        <w:spacing w:line="360" w:lineRule="auto"/>
        <w:ind w:firstLine="480"/>
        <w:rPr>
          <w:spacing w:val="0"/>
          <w:szCs w:val="24"/>
        </w:rPr>
      </w:pPr>
      <w:r>
        <w:rPr>
          <w:rFonts w:hint="eastAsia"/>
          <w:spacing w:val="0"/>
          <w:szCs w:val="24"/>
        </w:rPr>
        <w:t>《硅酸盐、普通硅酸盐水泥》（</w:t>
      </w:r>
      <w:r>
        <w:rPr>
          <w:spacing w:val="0"/>
          <w:szCs w:val="24"/>
        </w:rPr>
        <w:t>GB175-1999</w:t>
      </w:r>
      <w:r>
        <w:rPr>
          <w:rFonts w:hint="eastAsia"/>
          <w:spacing w:val="0"/>
          <w:szCs w:val="24"/>
        </w:rPr>
        <w:t>）</w:t>
      </w:r>
    </w:p>
    <w:p>
      <w:pPr>
        <w:pStyle w:val="58"/>
        <w:spacing w:line="360" w:lineRule="auto"/>
        <w:ind w:firstLine="480"/>
        <w:rPr>
          <w:spacing w:val="0"/>
          <w:szCs w:val="24"/>
        </w:rPr>
      </w:pPr>
      <w:r>
        <w:rPr>
          <w:rFonts w:hint="eastAsia"/>
          <w:spacing w:val="0"/>
          <w:szCs w:val="24"/>
        </w:rPr>
        <w:t>《混凝土外加剂》（</w:t>
      </w:r>
      <w:r>
        <w:rPr>
          <w:spacing w:val="0"/>
          <w:szCs w:val="24"/>
        </w:rPr>
        <w:t>GB8076-1997</w:t>
      </w:r>
      <w:r>
        <w:rPr>
          <w:rFonts w:hint="eastAsia"/>
          <w:spacing w:val="0"/>
          <w:szCs w:val="24"/>
        </w:rPr>
        <w:t>）</w:t>
      </w:r>
    </w:p>
    <w:p>
      <w:pPr>
        <w:pStyle w:val="58"/>
        <w:spacing w:line="360" w:lineRule="auto"/>
        <w:ind w:firstLine="480"/>
        <w:jc w:val="center"/>
      </w:pPr>
      <w:r>
        <w:rPr>
          <w:rFonts w:hint="eastAsia"/>
          <w:spacing w:val="0"/>
          <w:szCs w:val="24"/>
        </w:rPr>
        <w:t>《用于水泥和混凝土中的粉煤灰》（</w:t>
      </w:r>
      <w:r>
        <w:rPr>
          <w:spacing w:val="0"/>
          <w:szCs w:val="24"/>
        </w:rPr>
        <w:t>GB1596-1991</w:t>
      </w:r>
      <w:r>
        <w:rPr>
          <w:rFonts w:hint="eastAsia"/>
          <w:spacing w:val="0"/>
          <w:szCs w:val="24"/>
        </w:rPr>
        <w:t>）</w:t>
      </w:r>
      <w:r>
        <w:br w:type="page"/>
      </w:r>
      <w:bookmarkStart w:id="13" w:name="_Toc350517626"/>
      <w:bookmarkStart w:id="14" w:name="_Toc353351857"/>
      <w:r>
        <w:rPr>
          <w:rFonts w:hint="eastAsia"/>
          <w:b/>
          <w:bCs/>
          <w:sz w:val="32"/>
        </w:rPr>
        <w:t>第二章</w:t>
      </w:r>
      <w:r>
        <w:rPr>
          <w:b/>
          <w:bCs/>
          <w:sz w:val="32"/>
        </w:rPr>
        <w:t xml:space="preserve"> </w:t>
      </w:r>
      <w:r>
        <w:rPr>
          <w:rFonts w:hint="eastAsia"/>
          <w:b/>
          <w:bCs/>
          <w:sz w:val="32"/>
        </w:rPr>
        <w:t>总体施工规划</w:t>
      </w:r>
      <w:bookmarkEnd w:id="13"/>
      <w:bookmarkEnd w:id="14"/>
    </w:p>
    <w:p>
      <w:pPr>
        <w:spacing w:line="360" w:lineRule="auto"/>
        <w:outlineLvl w:val="1"/>
        <w:rPr>
          <w:rFonts w:ascii="宋体"/>
          <w:b/>
          <w:sz w:val="28"/>
          <w:szCs w:val="28"/>
        </w:rPr>
      </w:pPr>
      <w:bookmarkStart w:id="15" w:name="_Toc353351858"/>
      <w:bookmarkStart w:id="16" w:name="_Toc350517627"/>
      <w:r>
        <w:rPr>
          <w:rFonts w:ascii="宋体" w:hAnsi="宋体"/>
          <w:b/>
          <w:sz w:val="28"/>
          <w:szCs w:val="28"/>
        </w:rPr>
        <w:t>2.1</w:t>
      </w:r>
      <w:r>
        <w:rPr>
          <w:rFonts w:hint="eastAsia" w:ascii="宋体" w:hAnsi="宋体"/>
          <w:b/>
          <w:sz w:val="28"/>
          <w:szCs w:val="28"/>
        </w:rPr>
        <w:t>工期安排</w:t>
      </w:r>
      <w:bookmarkEnd w:id="15"/>
      <w:bookmarkEnd w:id="16"/>
    </w:p>
    <w:p>
      <w:pPr>
        <w:spacing w:line="360" w:lineRule="auto"/>
        <w:ind w:firstLine="480" w:firstLineChars="200"/>
        <w:rPr>
          <w:sz w:val="24"/>
        </w:rPr>
      </w:pPr>
      <w:r>
        <w:rPr>
          <w:rFonts w:hint="eastAsia"/>
          <w:sz w:val="24"/>
        </w:rPr>
        <w:t>钻孔桩施工工期：</w:t>
      </w:r>
      <w:r>
        <w:rPr>
          <w:sz w:val="24"/>
        </w:rPr>
        <w:t>3</w:t>
      </w:r>
      <w:r>
        <w:rPr>
          <w:rFonts w:hint="eastAsia"/>
          <w:sz w:val="24"/>
        </w:rPr>
        <w:t>个月，共计</w:t>
      </w:r>
      <w:r>
        <w:rPr>
          <w:rFonts w:hint="eastAsia"/>
          <w:sz w:val="24"/>
          <w:lang w:val="en-US" w:eastAsia="zh-CN"/>
        </w:rPr>
        <w:t>9</w:t>
      </w:r>
      <w:r>
        <w:rPr>
          <w:rFonts w:hint="eastAsia"/>
          <w:sz w:val="24"/>
        </w:rPr>
        <w:t>栋高层基础，每栋楼约</w:t>
      </w:r>
      <w:r>
        <w:rPr>
          <w:sz w:val="24"/>
        </w:rPr>
        <w:t>1</w:t>
      </w:r>
      <w:r>
        <w:rPr>
          <w:rFonts w:hint="eastAsia"/>
          <w:sz w:val="24"/>
        </w:rPr>
        <w:t>38根桩，地下车库桩基础2500</w:t>
      </w:r>
      <w:r>
        <w:rPr>
          <w:sz w:val="24"/>
        </w:rPr>
        <w:t>~2</w:t>
      </w:r>
      <w:r>
        <w:rPr>
          <w:rFonts w:hint="eastAsia"/>
          <w:sz w:val="24"/>
        </w:rPr>
        <w:t>600根桩；</w:t>
      </w:r>
      <w:r>
        <w:rPr>
          <w:sz w:val="24"/>
        </w:rPr>
        <w:t xml:space="preserve"> </w:t>
      </w:r>
    </w:p>
    <w:p>
      <w:pPr>
        <w:spacing w:line="360" w:lineRule="auto"/>
        <w:ind w:firstLine="480" w:firstLineChars="200"/>
        <w:rPr>
          <w:sz w:val="24"/>
        </w:rPr>
      </w:pPr>
      <w:r>
        <w:rPr>
          <w:rFonts w:hint="eastAsia"/>
          <w:sz w:val="24"/>
        </w:rPr>
        <w:t>钢护筒埋设：</w:t>
      </w:r>
      <w:r>
        <w:rPr>
          <w:sz w:val="24"/>
        </w:rPr>
        <w:t>20</w:t>
      </w:r>
      <w:r>
        <w:rPr>
          <w:rFonts w:hint="eastAsia"/>
          <w:sz w:val="24"/>
        </w:rPr>
        <w:t>天，如有地质情况不允许，需埋设长护筒时，工期适当改变；</w:t>
      </w:r>
    </w:p>
    <w:p>
      <w:pPr>
        <w:spacing w:line="360" w:lineRule="auto"/>
        <w:ind w:firstLine="480" w:firstLineChars="200"/>
        <w:rPr>
          <w:sz w:val="24"/>
        </w:rPr>
      </w:pPr>
      <w:r>
        <w:rPr>
          <w:rFonts w:hint="eastAsia"/>
          <w:sz w:val="24"/>
        </w:rPr>
        <w:t>钻孔桩施工：</w:t>
      </w:r>
      <w:r>
        <w:rPr>
          <w:sz w:val="24"/>
        </w:rPr>
        <w:t>70</w:t>
      </w:r>
      <w:r>
        <w:rPr>
          <w:rFonts w:hint="eastAsia"/>
          <w:sz w:val="24"/>
        </w:rPr>
        <w:t>天，因场地或地质情况和自然环境造成的工期延误，视情况适当调整。</w:t>
      </w:r>
    </w:p>
    <w:p>
      <w:pPr>
        <w:spacing w:line="360" w:lineRule="auto"/>
        <w:outlineLvl w:val="1"/>
        <w:rPr>
          <w:rFonts w:ascii="宋体"/>
          <w:b/>
          <w:sz w:val="28"/>
          <w:szCs w:val="28"/>
        </w:rPr>
      </w:pPr>
      <w:bookmarkStart w:id="17" w:name="_Toc350517628"/>
      <w:bookmarkStart w:id="18" w:name="_Toc353351859"/>
      <w:r>
        <w:rPr>
          <w:rFonts w:ascii="宋体" w:hAnsi="宋体"/>
          <w:b/>
          <w:sz w:val="28"/>
          <w:szCs w:val="28"/>
        </w:rPr>
        <w:t>2.2</w:t>
      </w:r>
      <w:r>
        <w:rPr>
          <w:rFonts w:hint="eastAsia" w:ascii="宋体" w:hAnsi="宋体"/>
          <w:b/>
          <w:sz w:val="28"/>
          <w:szCs w:val="28"/>
        </w:rPr>
        <w:t>施工组织及劳动力配备</w:t>
      </w:r>
      <w:bookmarkEnd w:id="17"/>
      <w:bookmarkEnd w:id="18"/>
    </w:p>
    <w:p>
      <w:pPr>
        <w:spacing w:line="360" w:lineRule="auto"/>
        <w:ind w:firstLine="480" w:firstLineChars="200"/>
        <w:rPr>
          <w:sz w:val="24"/>
        </w:rPr>
      </w:pPr>
      <w:r>
        <w:rPr>
          <w:rFonts w:hint="eastAsia"/>
          <w:sz w:val="24"/>
        </w:rPr>
        <w:t>为保证施工过程各工序能有序进行，标段设置一个项目经理部，现场所有一切部门、工班由项目部管理，并配备足够的管理人员及劳动力。设项目经理</w:t>
      </w:r>
      <w:r>
        <w:rPr>
          <w:sz w:val="24"/>
        </w:rPr>
        <w:t>1</w:t>
      </w:r>
      <w:r>
        <w:rPr>
          <w:rFonts w:hint="eastAsia"/>
          <w:sz w:val="24"/>
        </w:rPr>
        <w:t>名，</w:t>
      </w:r>
      <w:r>
        <w:rPr>
          <w:rFonts w:hint="eastAsia"/>
          <w:sz w:val="24"/>
          <w:lang w:eastAsia="zh-CN"/>
        </w:rPr>
        <w:t>工程部长</w:t>
      </w:r>
      <w:r>
        <w:rPr>
          <w:sz w:val="24"/>
        </w:rPr>
        <w:t>1</w:t>
      </w:r>
      <w:r>
        <w:rPr>
          <w:rFonts w:hint="eastAsia"/>
          <w:sz w:val="24"/>
        </w:rPr>
        <w:t>名，</w:t>
      </w:r>
      <w:r>
        <w:rPr>
          <w:rFonts w:hint="eastAsia"/>
          <w:sz w:val="24"/>
          <w:lang w:eastAsia="zh-CN"/>
        </w:rPr>
        <w:t>技术负责</w:t>
      </w:r>
      <w:r>
        <w:rPr>
          <w:rFonts w:hint="eastAsia"/>
          <w:sz w:val="24"/>
          <w:lang w:val="en-US" w:eastAsia="zh-CN"/>
        </w:rPr>
        <w:t>1名，</w:t>
      </w:r>
      <w:r>
        <w:rPr>
          <w:rFonts w:hint="eastAsia"/>
          <w:sz w:val="24"/>
        </w:rPr>
        <w:t>施工员</w:t>
      </w:r>
      <w:r>
        <w:rPr>
          <w:rFonts w:hint="eastAsia"/>
          <w:sz w:val="24"/>
          <w:lang w:val="en-US" w:eastAsia="zh-CN"/>
        </w:rPr>
        <w:t>6</w:t>
      </w:r>
      <w:r>
        <w:rPr>
          <w:rFonts w:hint="eastAsia"/>
          <w:sz w:val="24"/>
        </w:rPr>
        <w:t>名，测量员</w:t>
      </w:r>
      <w:r>
        <w:rPr>
          <w:rFonts w:hint="eastAsia"/>
          <w:sz w:val="24"/>
          <w:lang w:val="en-US" w:eastAsia="zh-CN"/>
        </w:rPr>
        <w:t>2</w:t>
      </w:r>
      <w:r>
        <w:rPr>
          <w:rFonts w:hint="eastAsia"/>
          <w:sz w:val="24"/>
        </w:rPr>
        <w:t>名，安全员</w:t>
      </w:r>
      <w:r>
        <w:rPr>
          <w:sz w:val="24"/>
        </w:rPr>
        <w:t>1</w:t>
      </w:r>
      <w:r>
        <w:rPr>
          <w:rFonts w:hint="eastAsia"/>
          <w:sz w:val="24"/>
        </w:rPr>
        <w:t>名，质检员</w:t>
      </w:r>
      <w:r>
        <w:rPr>
          <w:rFonts w:hint="eastAsia"/>
          <w:sz w:val="24"/>
          <w:lang w:val="en-US" w:eastAsia="zh-CN"/>
        </w:rPr>
        <w:t>2</w:t>
      </w:r>
      <w:r>
        <w:rPr>
          <w:rFonts w:hint="eastAsia"/>
          <w:sz w:val="24"/>
        </w:rPr>
        <w:t>名，材料员</w:t>
      </w:r>
      <w:r>
        <w:rPr>
          <w:sz w:val="24"/>
        </w:rPr>
        <w:t>1</w:t>
      </w:r>
      <w:r>
        <w:rPr>
          <w:rFonts w:hint="eastAsia"/>
          <w:sz w:val="24"/>
        </w:rPr>
        <w:t>名，下设</w:t>
      </w:r>
      <w:r>
        <w:rPr>
          <w:rFonts w:hint="eastAsia"/>
          <w:sz w:val="24"/>
          <w:lang w:val="en-US" w:eastAsia="zh-CN"/>
        </w:rPr>
        <w:t>7</w:t>
      </w:r>
      <w:r>
        <w:rPr>
          <w:rFonts w:hint="eastAsia"/>
          <w:sz w:val="24"/>
        </w:rPr>
        <w:t>个作业工班，分别为</w:t>
      </w:r>
      <w:r>
        <w:rPr>
          <w:rFonts w:hint="eastAsia"/>
          <w:sz w:val="24"/>
          <w:lang w:val="en-US" w:eastAsia="zh-CN"/>
        </w:rPr>
        <w:t>6</w:t>
      </w:r>
      <w:r>
        <w:rPr>
          <w:rFonts w:hint="eastAsia"/>
          <w:sz w:val="24"/>
        </w:rPr>
        <w:t>个钻孔作业工班、</w:t>
      </w:r>
      <w:r>
        <w:rPr>
          <w:rFonts w:hint="eastAsia"/>
          <w:sz w:val="24"/>
          <w:lang w:val="en-US" w:eastAsia="zh-CN"/>
        </w:rPr>
        <w:t>1</w:t>
      </w:r>
      <w:r>
        <w:rPr>
          <w:rFonts w:hint="eastAsia"/>
          <w:sz w:val="24"/>
        </w:rPr>
        <w:t>个钢筋笼作业工班，各工班配备专业技术工人。项目部现场人员具体配备见</w:t>
      </w:r>
      <w:r>
        <w:rPr>
          <w:sz w:val="24"/>
        </w:rPr>
        <w:t xml:space="preserve">2-1 </w:t>
      </w:r>
      <w:r>
        <w:rPr>
          <w:rFonts w:hint="eastAsia"/>
          <w:sz w:val="24"/>
        </w:rPr>
        <w:t>项目部劳动力配置表。</w:t>
      </w:r>
    </w:p>
    <w:p>
      <w:pPr>
        <w:pStyle w:val="59"/>
        <w:spacing w:before="120" w:after="120" w:line="360" w:lineRule="auto"/>
      </w:pPr>
      <w:r>
        <w:rPr>
          <w:rFonts w:hint="eastAsia"/>
        </w:rPr>
        <w:t>表</w:t>
      </w:r>
      <w:r>
        <w:t>2</w:t>
      </w:r>
      <w:r>
        <w:noBreakHyphen/>
      </w:r>
      <w:r>
        <w:fldChar w:fldCharType="begin"/>
      </w:r>
      <w:r>
        <w:instrText xml:space="preserve"> SEQ </w:instrText>
      </w:r>
      <w:r>
        <w:rPr>
          <w:rFonts w:hint="eastAsia"/>
        </w:rPr>
        <w:instrText xml:space="preserve">表格</w:instrText>
      </w:r>
      <w:r>
        <w:instrText xml:space="preserve"> \* ARABIC \s 1 </w:instrText>
      </w:r>
      <w:r>
        <w:fldChar w:fldCharType="separate"/>
      </w:r>
      <w:r>
        <w:t>1</w:t>
      </w:r>
      <w:r>
        <w:fldChar w:fldCharType="end"/>
      </w:r>
      <w:r>
        <w:rPr>
          <w:rFonts w:hint="eastAsia"/>
        </w:rPr>
        <w:t>项目部部门及劳动力配置表</w:t>
      </w:r>
    </w:p>
    <w:tbl>
      <w:tblPr>
        <w:tblStyle w:val="29"/>
        <w:tblW w:w="8747" w:type="dxa"/>
        <w:jc w:val="center"/>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203"/>
        <w:gridCol w:w="2698"/>
        <w:gridCol w:w="644"/>
        <w:gridCol w:w="4202"/>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jc w:val="center"/>
        </w:trPr>
        <w:tc>
          <w:tcPr>
            <w:tcW w:w="1203" w:type="dxa"/>
            <w:tcBorders>
              <w:top w:val="double" w:color="auto" w:sz="4" w:space="0"/>
            </w:tcBorders>
            <w:vAlign w:val="center"/>
          </w:tcPr>
          <w:p>
            <w:pPr>
              <w:pStyle w:val="52"/>
              <w:spacing w:line="360" w:lineRule="auto"/>
              <w:rPr>
                <w:kern w:val="0"/>
                <w:sz w:val="21"/>
                <w:szCs w:val="21"/>
              </w:rPr>
            </w:pPr>
            <w:r>
              <w:rPr>
                <w:rFonts w:hint="eastAsia"/>
                <w:kern w:val="0"/>
                <w:sz w:val="21"/>
                <w:szCs w:val="21"/>
              </w:rPr>
              <w:t>序号</w:t>
            </w:r>
          </w:p>
        </w:tc>
        <w:tc>
          <w:tcPr>
            <w:tcW w:w="2698" w:type="dxa"/>
            <w:tcBorders>
              <w:top w:val="double" w:color="auto" w:sz="4" w:space="0"/>
            </w:tcBorders>
            <w:vAlign w:val="center"/>
          </w:tcPr>
          <w:p>
            <w:pPr>
              <w:pStyle w:val="52"/>
              <w:spacing w:line="360" w:lineRule="auto"/>
              <w:rPr>
                <w:kern w:val="0"/>
                <w:sz w:val="21"/>
                <w:szCs w:val="21"/>
              </w:rPr>
            </w:pPr>
            <w:r>
              <w:rPr>
                <w:rFonts w:hint="eastAsia"/>
                <w:kern w:val="0"/>
                <w:sz w:val="21"/>
                <w:szCs w:val="21"/>
              </w:rPr>
              <w:t>职务</w:t>
            </w:r>
          </w:p>
        </w:tc>
        <w:tc>
          <w:tcPr>
            <w:tcW w:w="644" w:type="dxa"/>
            <w:tcBorders>
              <w:top w:val="double" w:color="auto" w:sz="4" w:space="0"/>
            </w:tcBorders>
            <w:vAlign w:val="center"/>
          </w:tcPr>
          <w:p>
            <w:pPr>
              <w:pStyle w:val="52"/>
              <w:spacing w:line="360" w:lineRule="auto"/>
              <w:rPr>
                <w:kern w:val="0"/>
                <w:sz w:val="21"/>
                <w:szCs w:val="21"/>
              </w:rPr>
            </w:pPr>
            <w:r>
              <w:rPr>
                <w:rFonts w:hint="eastAsia"/>
                <w:kern w:val="0"/>
                <w:sz w:val="21"/>
                <w:szCs w:val="21"/>
              </w:rPr>
              <w:t>人数</w:t>
            </w:r>
          </w:p>
        </w:tc>
        <w:tc>
          <w:tcPr>
            <w:tcW w:w="4202" w:type="dxa"/>
            <w:tcBorders>
              <w:top w:val="double" w:color="auto" w:sz="4" w:space="0"/>
            </w:tcBorders>
            <w:vAlign w:val="center"/>
          </w:tcPr>
          <w:p>
            <w:pPr>
              <w:pStyle w:val="52"/>
              <w:spacing w:line="360" w:lineRule="auto"/>
            </w:pPr>
            <w:r>
              <w:rPr>
                <w:rFonts w:hint="eastAsia"/>
                <w:kern w:val="0"/>
                <w:sz w:val="21"/>
                <w:szCs w:val="21"/>
              </w:rPr>
              <w:t>负责内容</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jc w:val="center"/>
        </w:trPr>
        <w:tc>
          <w:tcPr>
            <w:tcW w:w="1203" w:type="dxa"/>
            <w:vAlign w:val="center"/>
          </w:tcPr>
          <w:p>
            <w:pPr>
              <w:pStyle w:val="52"/>
              <w:spacing w:line="360" w:lineRule="auto"/>
              <w:rPr>
                <w:kern w:val="0"/>
                <w:sz w:val="21"/>
                <w:szCs w:val="21"/>
              </w:rPr>
            </w:pPr>
            <w:r>
              <w:rPr>
                <w:kern w:val="0"/>
                <w:sz w:val="21"/>
                <w:szCs w:val="21"/>
              </w:rPr>
              <w:t>1</w:t>
            </w:r>
          </w:p>
        </w:tc>
        <w:tc>
          <w:tcPr>
            <w:tcW w:w="2698" w:type="dxa"/>
            <w:vAlign w:val="center"/>
          </w:tcPr>
          <w:p>
            <w:pPr>
              <w:pStyle w:val="52"/>
              <w:spacing w:line="360" w:lineRule="auto"/>
              <w:rPr>
                <w:kern w:val="0"/>
                <w:sz w:val="21"/>
                <w:szCs w:val="21"/>
              </w:rPr>
            </w:pPr>
            <w:r>
              <w:rPr>
                <w:rFonts w:hint="eastAsia"/>
                <w:kern w:val="0"/>
                <w:sz w:val="21"/>
                <w:szCs w:val="21"/>
              </w:rPr>
              <w:t>项目经理</w:t>
            </w:r>
          </w:p>
        </w:tc>
        <w:tc>
          <w:tcPr>
            <w:tcW w:w="644" w:type="dxa"/>
            <w:vAlign w:val="center"/>
          </w:tcPr>
          <w:p>
            <w:pPr>
              <w:pStyle w:val="52"/>
              <w:spacing w:line="360" w:lineRule="auto"/>
              <w:rPr>
                <w:kern w:val="0"/>
                <w:sz w:val="21"/>
                <w:szCs w:val="21"/>
              </w:rPr>
            </w:pPr>
            <w:r>
              <w:rPr>
                <w:kern w:val="0"/>
                <w:sz w:val="21"/>
                <w:szCs w:val="21"/>
              </w:rPr>
              <w:t>1</w:t>
            </w:r>
          </w:p>
        </w:tc>
        <w:tc>
          <w:tcPr>
            <w:tcW w:w="4202" w:type="dxa"/>
            <w:vAlign w:val="center"/>
          </w:tcPr>
          <w:p>
            <w:pPr>
              <w:pStyle w:val="52"/>
              <w:spacing w:line="360" w:lineRule="auto"/>
            </w:pPr>
            <w:r>
              <w:rPr>
                <w:rFonts w:hint="eastAsia"/>
                <w:kern w:val="0"/>
                <w:sz w:val="21"/>
                <w:szCs w:val="21"/>
              </w:rPr>
              <w:t>全面负责</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jc w:val="center"/>
        </w:trPr>
        <w:tc>
          <w:tcPr>
            <w:tcW w:w="1203" w:type="dxa"/>
            <w:vAlign w:val="center"/>
          </w:tcPr>
          <w:p>
            <w:pPr>
              <w:pStyle w:val="52"/>
              <w:spacing w:line="360" w:lineRule="auto"/>
              <w:rPr>
                <w:rFonts w:hint="eastAsia" w:eastAsia="宋体"/>
                <w:kern w:val="0"/>
                <w:sz w:val="21"/>
                <w:szCs w:val="21"/>
                <w:lang w:val="en-US" w:eastAsia="zh-CN"/>
              </w:rPr>
            </w:pPr>
            <w:r>
              <w:rPr>
                <w:rFonts w:hint="eastAsia"/>
                <w:kern w:val="0"/>
                <w:sz w:val="21"/>
                <w:szCs w:val="21"/>
                <w:lang w:val="en-US" w:eastAsia="zh-CN"/>
              </w:rPr>
              <w:t>2</w:t>
            </w:r>
          </w:p>
        </w:tc>
        <w:tc>
          <w:tcPr>
            <w:tcW w:w="2698" w:type="dxa"/>
            <w:vAlign w:val="center"/>
          </w:tcPr>
          <w:p>
            <w:pPr>
              <w:pStyle w:val="52"/>
              <w:spacing w:line="360" w:lineRule="auto"/>
              <w:rPr>
                <w:rFonts w:hint="eastAsia" w:eastAsia="宋体"/>
                <w:kern w:val="0"/>
                <w:sz w:val="21"/>
                <w:szCs w:val="21"/>
                <w:lang w:eastAsia="zh-CN"/>
              </w:rPr>
            </w:pPr>
            <w:r>
              <w:rPr>
                <w:rFonts w:hint="eastAsia"/>
                <w:kern w:val="0"/>
                <w:sz w:val="21"/>
                <w:szCs w:val="21"/>
                <w:lang w:eastAsia="zh-CN"/>
              </w:rPr>
              <w:t>工程部长</w:t>
            </w:r>
          </w:p>
        </w:tc>
        <w:tc>
          <w:tcPr>
            <w:tcW w:w="644" w:type="dxa"/>
            <w:vAlign w:val="center"/>
          </w:tcPr>
          <w:p>
            <w:pPr>
              <w:pStyle w:val="52"/>
              <w:spacing w:line="360" w:lineRule="auto"/>
              <w:rPr>
                <w:rFonts w:hint="eastAsia" w:eastAsia="宋体"/>
                <w:kern w:val="0"/>
                <w:sz w:val="21"/>
                <w:szCs w:val="21"/>
                <w:lang w:val="en-US" w:eastAsia="zh-CN"/>
              </w:rPr>
            </w:pPr>
            <w:r>
              <w:rPr>
                <w:rFonts w:hint="eastAsia"/>
                <w:kern w:val="0"/>
                <w:sz w:val="21"/>
                <w:szCs w:val="21"/>
                <w:lang w:val="en-US" w:eastAsia="zh-CN"/>
              </w:rPr>
              <w:t>1</w:t>
            </w:r>
          </w:p>
        </w:tc>
        <w:tc>
          <w:tcPr>
            <w:tcW w:w="4202" w:type="dxa"/>
            <w:vAlign w:val="center"/>
          </w:tcPr>
          <w:p>
            <w:pPr>
              <w:pStyle w:val="52"/>
              <w:spacing w:line="360" w:lineRule="auto"/>
              <w:rPr>
                <w:rFonts w:hint="eastAsia" w:eastAsia="宋体"/>
                <w:kern w:val="0"/>
                <w:sz w:val="21"/>
                <w:szCs w:val="21"/>
                <w:lang w:eastAsia="zh-CN"/>
              </w:rPr>
            </w:pPr>
            <w:r>
              <w:rPr>
                <w:rFonts w:hint="eastAsia"/>
                <w:kern w:val="0"/>
                <w:sz w:val="21"/>
                <w:szCs w:val="21"/>
                <w:lang w:eastAsia="zh-CN"/>
              </w:rPr>
              <w:t>现在负责</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PrEx>
        <w:trPr>
          <w:jc w:val="center"/>
        </w:trPr>
        <w:tc>
          <w:tcPr>
            <w:tcW w:w="1203" w:type="dxa"/>
            <w:vAlign w:val="center"/>
          </w:tcPr>
          <w:p>
            <w:pPr>
              <w:pStyle w:val="52"/>
              <w:spacing w:line="360" w:lineRule="auto"/>
              <w:rPr>
                <w:kern w:val="0"/>
                <w:sz w:val="21"/>
                <w:szCs w:val="21"/>
              </w:rPr>
            </w:pPr>
            <w:r>
              <w:rPr>
                <w:kern w:val="0"/>
                <w:sz w:val="21"/>
                <w:szCs w:val="21"/>
              </w:rPr>
              <w:t>2</w:t>
            </w:r>
          </w:p>
        </w:tc>
        <w:tc>
          <w:tcPr>
            <w:tcW w:w="2698" w:type="dxa"/>
            <w:vAlign w:val="center"/>
          </w:tcPr>
          <w:p>
            <w:pPr>
              <w:pStyle w:val="52"/>
              <w:spacing w:line="360" w:lineRule="auto"/>
              <w:rPr>
                <w:rFonts w:hint="eastAsia" w:eastAsia="宋体"/>
                <w:kern w:val="0"/>
                <w:sz w:val="21"/>
                <w:szCs w:val="21"/>
                <w:lang w:eastAsia="zh-CN"/>
              </w:rPr>
            </w:pPr>
            <w:r>
              <w:rPr>
                <w:rFonts w:hint="eastAsia"/>
                <w:kern w:val="0"/>
                <w:sz w:val="21"/>
                <w:szCs w:val="21"/>
                <w:lang w:eastAsia="zh-CN"/>
              </w:rPr>
              <w:t>技术负责</w:t>
            </w:r>
          </w:p>
        </w:tc>
        <w:tc>
          <w:tcPr>
            <w:tcW w:w="644" w:type="dxa"/>
            <w:vAlign w:val="center"/>
          </w:tcPr>
          <w:p>
            <w:pPr>
              <w:pStyle w:val="52"/>
              <w:spacing w:line="360" w:lineRule="auto"/>
              <w:rPr>
                <w:kern w:val="0"/>
                <w:sz w:val="21"/>
                <w:szCs w:val="21"/>
              </w:rPr>
            </w:pPr>
            <w:r>
              <w:rPr>
                <w:kern w:val="0"/>
                <w:sz w:val="21"/>
                <w:szCs w:val="21"/>
              </w:rPr>
              <w:t>1</w:t>
            </w:r>
          </w:p>
        </w:tc>
        <w:tc>
          <w:tcPr>
            <w:tcW w:w="4202" w:type="dxa"/>
            <w:vAlign w:val="center"/>
          </w:tcPr>
          <w:p>
            <w:pPr>
              <w:pStyle w:val="52"/>
              <w:spacing w:line="360" w:lineRule="auto"/>
            </w:pPr>
            <w:r>
              <w:rPr>
                <w:rFonts w:hint="eastAsia"/>
                <w:kern w:val="0"/>
                <w:sz w:val="21"/>
                <w:szCs w:val="21"/>
              </w:rPr>
              <w:t>技术负责</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jc w:val="center"/>
        </w:trPr>
        <w:tc>
          <w:tcPr>
            <w:tcW w:w="1203" w:type="dxa"/>
            <w:vAlign w:val="center"/>
          </w:tcPr>
          <w:p>
            <w:pPr>
              <w:pStyle w:val="52"/>
              <w:spacing w:line="360" w:lineRule="auto"/>
              <w:rPr>
                <w:kern w:val="0"/>
                <w:sz w:val="21"/>
                <w:szCs w:val="21"/>
              </w:rPr>
            </w:pPr>
            <w:r>
              <w:rPr>
                <w:kern w:val="0"/>
                <w:sz w:val="21"/>
                <w:szCs w:val="21"/>
              </w:rPr>
              <w:t>3</w:t>
            </w:r>
          </w:p>
        </w:tc>
        <w:tc>
          <w:tcPr>
            <w:tcW w:w="2698" w:type="dxa"/>
            <w:vAlign w:val="center"/>
          </w:tcPr>
          <w:p>
            <w:pPr>
              <w:pStyle w:val="52"/>
              <w:spacing w:line="360" w:lineRule="auto"/>
              <w:rPr>
                <w:kern w:val="0"/>
                <w:sz w:val="21"/>
                <w:szCs w:val="21"/>
              </w:rPr>
            </w:pPr>
            <w:r>
              <w:rPr>
                <w:rFonts w:hint="eastAsia"/>
                <w:kern w:val="0"/>
                <w:sz w:val="21"/>
                <w:szCs w:val="21"/>
              </w:rPr>
              <w:t>施工员</w:t>
            </w:r>
          </w:p>
        </w:tc>
        <w:tc>
          <w:tcPr>
            <w:tcW w:w="644" w:type="dxa"/>
            <w:vAlign w:val="center"/>
          </w:tcPr>
          <w:p>
            <w:pPr>
              <w:pStyle w:val="52"/>
              <w:spacing w:line="360" w:lineRule="auto"/>
              <w:rPr>
                <w:rFonts w:hint="eastAsia" w:eastAsia="宋体"/>
                <w:kern w:val="0"/>
                <w:sz w:val="21"/>
                <w:szCs w:val="21"/>
                <w:lang w:eastAsia="zh-CN"/>
              </w:rPr>
            </w:pPr>
            <w:r>
              <w:rPr>
                <w:rFonts w:hint="eastAsia"/>
                <w:kern w:val="0"/>
                <w:sz w:val="21"/>
                <w:szCs w:val="21"/>
                <w:lang w:val="en-US" w:eastAsia="zh-CN"/>
              </w:rPr>
              <w:t>6</w:t>
            </w:r>
          </w:p>
        </w:tc>
        <w:tc>
          <w:tcPr>
            <w:tcW w:w="4202" w:type="dxa"/>
            <w:vAlign w:val="center"/>
          </w:tcPr>
          <w:p>
            <w:pPr>
              <w:pStyle w:val="52"/>
              <w:spacing w:line="360" w:lineRule="auto"/>
            </w:pPr>
            <w:r>
              <w:rPr>
                <w:rFonts w:hint="eastAsia"/>
                <w:kern w:val="0"/>
                <w:sz w:val="21"/>
                <w:szCs w:val="21"/>
              </w:rPr>
              <w:t>现场生产监督协调</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jc w:val="center"/>
        </w:trPr>
        <w:tc>
          <w:tcPr>
            <w:tcW w:w="1203" w:type="dxa"/>
            <w:vAlign w:val="center"/>
          </w:tcPr>
          <w:p>
            <w:pPr>
              <w:pStyle w:val="52"/>
              <w:spacing w:line="360" w:lineRule="auto"/>
              <w:rPr>
                <w:kern w:val="0"/>
                <w:sz w:val="21"/>
                <w:szCs w:val="21"/>
              </w:rPr>
            </w:pPr>
            <w:r>
              <w:rPr>
                <w:kern w:val="0"/>
                <w:sz w:val="21"/>
                <w:szCs w:val="21"/>
              </w:rPr>
              <w:t>4</w:t>
            </w:r>
          </w:p>
        </w:tc>
        <w:tc>
          <w:tcPr>
            <w:tcW w:w="2698" w:type="dxa"/>
            <w:vAlign w:val="center"/>
          </w:tcPr>
          <w:p>
            <w:pPr>
              <w:pStyle w:val="52"/>
              <w:spacing w:line="360" w:lineRule="auto"/>
              <w:rPr>
                <w:kern w:val="0"/>
                <w:sz w:val="21"/>
                <w:szCs w:val="21"/>
              </w:rPr>
            </w:pPr>
            <w:r>
              <w:rPr>
                <w:rFonts w:hint="eastAsia"/>
                <w:kern w:val="0"/>
                <w:sz w:val="21"/>
                <w:szCs w:val="21"/>
              </w:rPr>
              <w:t>质检员</w:t>
            </w:r>
          </w:p>
        </w:tc>
        <w:tc>
          <w:tcPr>
            <w:tcW w:w="644" w:type="dxa"/>
            <w:vAlign w:val="center"/>
          </w:tcPr>
          <w:p>
            <w:pPr>
              <w:pStyle w:val="52"/>
              <w:spacing w:line="360" w:lineRule="auto"/>
              <w:rPr>
                <w:rFonts w:hint="eastAsia" w:eastAsia="宋体"/>
                <w:kern w:val="0"/>
                <w:sz w:val="21"/>
                <w:szCs w:val="21"/>
                <w:lang w:eastAsia="zh-CN"/>
              </w:rPr>
            </w:pPr>
            <w:r>
              <w:rPr>
                <w:rFonts w:hint="eastAsia"/>
                <w:kern w:val="0"/>
                <w:sz w:val="21"/>
                <w:szCs w:val="21"/>
                <w:lang w:val="en-US" w:eastAsia="zh-CN"/>
              </w:rPr>
              <w:t>2</w:t>
            </w:r>
          </w:p>
        </w:tc>
        <w:tc>
          <w:tcPr>
            <w:tcW w:w="4202" w:type="dxa"/>
            <w:vAlign w:val="center"/>
          </w:tcPr>
          <w:p>
            <w:pPr>
              <w:pStyle w:val="52"/>
              <w:spacing w:line="360" w:lineRule="auto"/>
            </w:pPr>
            <w:r>
              <w:rPr>
                <w:rFonts w:hint="eastAsia"/>
              </w:rPr>
              <w:t>技术、质量监督</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jc w:val="center"/>
        </w:trPr>
        <w:tc>
          <w:tcPr>
            <w:tcW w:w="1203" w:type="dxa"/>
            <w:vAlign w:val="center"/>
          </w:tcPr>
          <w:p>
            <w:pPr>
              <w:pStyle w:val="52"/>
              <w:spacing w:line="360" w:lineRule="auto"/>
              <w:rPr>
                <w:kern w:val="0"/>
                <w:sz w:val="21"/>
                <w:szCs w:val="21"/>
              </w:rPr>
            </w:pPr>
            <w:r>
              <w:rPr>
                <w:kern w:val="0"/>
                <w:sz w:val="21"/>
                <w:szCs w:val="21"/>
              </w:rPr>
              <w:t>5</w:t>
            </w:r>
          </w:p>
        </w:tc>
        <w:tc>
          <w:tcPr>
            <w:tcW w:w="2698" w:type="dxa"/>
            <w:vAlign w:val="center"/>
          </w:tcPr>
          <w:p>
            <w:pPr>
              <w:pStyle w:val="52"/>
              <w:spacing w:line="360" w:lineRule="auto"/>
              <w:rPr>
                <w:kern w:val="0"/>
                <w:sz w:val="21"/>
                <w:szCs w:val="21"/>
              </w:rPr>
            </w:pPr>
            <w:r>
              <w:rPr>
                <w:rFonts w:hint="eastAsia"/>
                <w:kern w:val="0"/>
                <w:sz w:val="21"/>
                <w:szCs w:val="21"/>
              </w:rPr>
              <w:t>测量员</w:t>
            </w:r>
          </w:p>
        </w:tc>
        <w:tc>
          <w:tcPr>
            <w:tcW w:w="644" w:type="dxa"/>
            <w:vAlign w:val="center"/>
          </w:tcPr>
          <w:p>
            <w:pPr>
              <w:pStyle w:val="52"/>
              <w:spacing w:line="360" w:lineRule="auto"/>
              <w:rPr>
                <w:rFonts w:hint="eastAsia" w:eastAsia="宋体"/>
                <w:kern w:val="0"/>
                <w:sz w:val="21"/>
                <w:szCs w:val="21"/>
                <w:lang w:eastAsia="zh-CN"/>
              </w:rPr>
            </w:pPr>
            <w:r>
              <w:rPr>
                <w:rFonts w:hint="eastAsia"/>
                <w:kern w:val="0"/>
                <w:sz w:val="21"/>
                <w:szCs w:val="21"/>
                <w:lang w:val="en-US" w:eastAsia="zh-CN"/>
              </w:rPr>
              <w:t>2</w:t>
            </w:r>
          </w:p>
        </w:tc>
        <w:tc>
          <w:tcPr>
            <w:tcW w:w="4202" w:type="dxa"/>
            <w:vAlign w:val="center"/>
          </w:tcPr>
          <w:p>
            <w:pPr>
              <w:pStyle w:val="52"/>
              <w:spacing w:line="360" w:lineRule="auto"/>
            </w:pPr>
            <w:r>
              <w:rPr>
                <w:rFonts w:hint="eastAsia"/>
                <w:kern w:val="0"/>
                <w:sz w:val="21"/>
                <w:szCs w:val="21"/>
              </w:rPr>
              <w:t>负责施工测量</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90" w:hRule="atLeast"/>
          <w:jc w:val="center"/>
        </w:trPr>
        <w:tc>
          <w:tcPr>
            <w:tcW w:w="1203" w:type="dxa"/>
            <w:vAlign w:val="center"/>
          </w:tcPr>
          <w:p>
            <w:pPr>
              <w:pStyle w:val="52"/>
              <w:spacing w:line="360" w:lineRule="auto"/>
              <w:rPr>
                <w:kern w:val="0"/>
                <w:sz w:val="21"/>
                <w:szCs w:val="21"/>
              </w:rPr>
            </w:pPr>
            <w:r>
              <w:rPr>
                <w:kern w:val="0"/>
                <w:sz w:val="21"/>
                <w:szCs w:val="21"/>
              </w:rPr>
              <w:t>6</w:t>
            </w:r>
          </w:p>
        </w:tc>
        <w:tc>
          <w:tcPr>
            <w:tcW w:w="2698" w:type="dxa"/>
            <w:vAlign w:val="center"/>
          </w:tcPr>
          <w:p>
            <w:pPr>
              <w:pStyle w:val="52"/>
              <w:spacing w:line="360" w:lineRule="auto"/>
              <w:rPr>
                <w:kern w:val="0"/>
                <w:sz w:val="21"/>
                <w:szCs w:val="21"/>
              </w:rPr>
            </w:pPr>
            <w:r>
              <w:rPr>
                <w:rFonts w:hint="eastAsia"/>
                <w:kern w:val="0"/>
                <w:sz w:val="21"/>
                <w:szCs w:val="21"/>
              </w:rPr>
              <w:t>材料员</w:t>
            </w:r>
          </w:p>
        </w:tc>
        <w:tc>
          <w:tcPr>
            <w:tcW w:w="644" w:type="dxa"/>
            <w:vAlign w:val="center"/>
          </w:tcPr>
          <w:p>
            <w:pPr>
              <w:pStyle w:val="52"/>
              <w:spacing w:line="360" w:lineRule="auto"/>
              <w:rPr>
                <w:kern w:val="0"/>
                <w:sz w:val="21"/>
                <w:szCs w:val="21"/>
              </w:rPr>
            </w:pPr>
            <w:r>
              <w:rPr>
                <w:kern w:val="0"/>
                <w:sz w:val="21"/>
                <w:szCs w:val="21"/>
              </w:rPr>
              <w:t>1</w:t>
            </w:r>
          </w:p>
        </w:tc>
        <w:tc>
          <w:tcPr>
            <w:tcW w:w="4202" w:type="dxa"/>
            <w:vAlign w:val="center"/>
          </w:tcPr>
          <w:p>
            <w:pPr>
              <w:pStyle w:val="52"/>
              <w:spacing w:line="360" w:lineRule="auto"/>
              <w:rPr>
                <w:kern w:val="0"/>
                <w:sz w:val="21"/>
                <w:szCs w:val="21"/>
              </w:rPr>
            </w:pPr>
            <w:r>
              <w:rPr>
                <w:rFonts w:hint="eastAsia"/>
                <w:kern w:val="0"/>
                <w:sz w:val="21"/>
                <w:szCs w:val="21"/>
              </w:rPr>
              <w:t>负责材料进出场计划、管理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90" w:hRule="atLeast"/>
          <w:jc w:val="center"/>
        </w:trPr>
        <w:tc>
          <w:tcPr>
            <w:tcW w:w="1203" w:type="dxa"/>
            <w:vAlign w:val="center"/>
          </w:tcPr>
          <w:p>
            <w:pPr>
              <w:pStyle w:val="52"/>
              <w:spacing w:line="360" w:lineRule="auto"/>
              <w:rPr>
                <w:kern w:val="0"/>
                <w:sz w:val="21"/>
                <w:szCs w:val="21"/>
              </w:rPr>
            </w:pPr>
            <w:r>
              <w:rPr>
                <w:kern w:val="0"/>
                <w:sz w:val="21"/>
                <w:szCs w:val="21"/>
              </w:rPr>
              <w:t>7</w:t>
            </w:r>
          </w:p>
        </w:tc>
        <w:tc>
          <w:tcPr>
            <w:tcW w:w="2698" w:type="dxa"/>
            <w:vAlign w:val="center"/>
          </w:tcPr>
          <w:p>
            <w:pPr>
              <w:pStyle w:val="52"/>
              <w:spacing w:line="360" w:lineRule="auto"/>
              <w:rPr>
                <w:kern w:val="0"/>
                <w:sz w:val="21"/>
                <w:szCs w:val="21"/>
              </w:rPr>
            </w:pPr>
            <w:r>
              <w:rPr>
                <w:rFonts w:hint="eastAsia"/>
                <w:kern w:val="0"/>
                <w:sz w:val="21"/>
                <w:szCs w:val="21"/>
              </w:rPr>
              <w:t>安全员</w:t>
            </w:r>
          </w:p>
        </w:tc>
        <w:tc>
          <w:tcPr>
            <w:tcW w:w="644" w:type="dxa"/>
            <w:vAlign w:val="center"/>
          </w:tcPr>
          <w:p>
            <w:pPr>
              <w:pStyle w:val="52"/>
              <w:spacing w:line="360" w:lineRule="auto"/>
              <w:rPr>
                <w:kern w:val="0"/>
                <w:sz w:val="21"/>
                <w:szCs w:val="21"/>
              </w:rPr>
            </w:pPr>
            <w:r>
              <w:rPr>
                <w:kern w:val="0"/>
                <w:sz w:val="21"/>
                <w:szCs w:val="21"/>
              </w:rPr>
              <w:t>1</w:t>
            </w:r>
          </w:p>
        </w:tc>
        <w:tc>
          <w:tcPr>
            <w:tcW w:w="4202" w:type="dxa"/>
            <w:vAlign w:val="center"/>
          </w:tcPr>
          <w:p>
            <w:pPr>
              <w:pStyle w:val="52"/>
              <w:spacing w:line="360" w:lineRule="auto"/>
              <w:rPr>
                <w:kern w:val="0"/>
                <w:sz w:val="21"/>
                <w:szCs w:val="21"/>
              </w:rPr>
            </w:pPr>
            <w:r>
              <w:rPr>
                <w:rFonts w:hint="eastAsia"/>
                <w:kern w:val="0"/>
                <w:sz w:val="21"/>
                <w:szCs w:val="21"/>
              </w:rPr>
              <w:t>负责现场施工的安全管理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90" w:hRule="atLeast"/>
          <w:jc w:val="center"/>
        </w:trPr>
        <w:tc>
          <w:tcPr>
            <w:tcW w:w="1203" w:type="dxa"/>
            <w:vAlign w:val="center"/>
          </w:tcPr>
          <w:p>
            <w:pPr>
              <w:pStyle w:val="52"/>
              <w:spacing w:line="360" w:lineRule="auto"/>
              <w:rPr>
                <w:kern w:val="0"/>
                <w:sz w:val="21"/>
                <w:szCs w:val="21"/>
              </w:rPr>
            </w:pPr>
            <w:r>
              <w:rPr>
                <w:kern w:val="0"/>
                <w:sz w:val="21"/>
                <w:szCs w:val="21"/>
              </w:rPr>
              <w:t>8</w:t>
            </w:r>
          </w:p>
        </w:tc>
        <w:tc>
          <w:tcPr>
            <w:tcW w:w="2698" w:type="dxa"/>
            <w:vAlign w:val="center"/>
          </w:tcPr>
          <w:p>
            <w:pPr>
              <w:pStyle w:val="52"/>
              <w:spacing w:line="360" w:lineRule="auto"/>
              <w:rPr>
                <w:kern w:val="0"/>
                <w:sz w:val="21"/>
                <w:szCs w:val="21"/>
              </w:rPr>
            </w:pPr>
            <w:r>
              <w:rPr>
                <w:rFonts w:hint="eastAsia"/>
                <w:kern w:val="0"/>
                <w:sz w:val="21"/>
                <w:szCs w:val="21"/>
              </w:rPr>
              <w:t>钻孔作业工班</w:t>
            </w:r>
          </w:p>
        </w:tc>
        <w:tc>
          <w:tcPr>
            <w:tcW w:w="644" w:type="dxa"/>
            <w:vAlign w:val="center"/>
          </w:tcPr>
          <w:p>
            <w:pPr>
              <w:pStyle w:val="52"/>
              <w:spacing w:line="360" w:lineRule="auto"/>
              <w:rPr>
                <w:rFonts w:hint="eastAsia" w:eastAsia="宋体"/>
                <w:kern w:val="0"/>
                <w:sz w:val="21"/>
                <w:szCs w:val="21"/>
                <w:lang w:eastAsia="zh-CN"/>
              </w:rPr>
            </w:pPr>
            <w:r>
              <w:rPr>
                <w:rFonts w:hint="eastAsia"/>
                <w:kern w:val="0"/>
                <w:sz w:val="21"/>
                <w:szCs w:val="21"/>
                <w:lang w:val="en-US" w:eastAsia="zh-CN"/>
              </w:rPr>
              <w:t>48</w:t>
            </w:r>
          </w:p>
        </w:tc>
        <w:tc>
          <w:tcPr>
            <w:tcW w:w="4202" w:type="dxa"/>
            <w:vAlign w:val="center"/>
          </w:tcPr>
          <w:p>
            <w:pPr>
              <w:pStyle w:val="52"/>
              <w:spacing w:line="360" w:lineRule="auto"/>
            </w:pPr>
            <w:r>
              <w:rPr>
                <w:rFonts w:hint="eastAsia"/>
                <w:kern w:val="0"/>
                <w:sz w:val="21"/>
                <w:szCs w:val="21"/>
              </w:rPr>
              <w:t>钻孔施工</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jc w:val="center"/>
        </w:trPr>
        <w:tc>
          <w:tcPr>
            <w:tcW w:w="1203" w:type="dxa"/>
            <w:tcBorders>
              <w:bottom w:val="double" w:color="auto" w:sz="4" w:space="0"/>
            </w:tcBorders>
            <w:vAlign w:val="center"/>
          </w:tcPr>
          <w:p>
            <w:pPr>
              <w:pStyle w:val="52"/>
              <w:spacing w:line="360" w:lineRule="auto"/>
              <w:rPr>
                <w:kern w:val="0"/>
                <w:sz w:val="21"/>
                <w:szCs w:val="21"/>
              </w:rPr>
            </w:pPr>
            <w:r>
              <w:rPr>
                <w:kern w:val="0"/>
                <w:sz w:val="21"/>
                <w:szCs w:val="21"/>
              </w:rPr>
              <w:t>9</w:t>
            </w:r>
          </w:p>
        </w:tc>
        <w:tc>
          <w:tcPr>
            <w:tcW w:w="2698" w:type="dxa"/>
            <w:tcBorders>
              <w:bottom w:val="double" w:color="auto" w:sz="4" w:space="0"/>
            </w:tcBorders>
            <w:vAlign w:val="center"/>
          </w:tcPr>
          <w:p>
            <w:pPr>
              <w:pStyle w:val="52"/>
              <w:spacing w:line="360" w:lineRule="auto"/>
              <w:rPr>
                <w:kern w:val="0"/>
                <w:sz w:val="21"/>
                <w:szCs w:val="21"/>
              </w:rPr>
            </w:pPr>
            <w:r>
              <w:rPr>
                <w:rFonts w:hint="eastAsia"/>
                <w:kern w:val="0"/>
                <w:sz w:val="21"/>
                <w:szCs w:val="21"/>
              </w:rPr>
              <w:t>钢筋笼作业工班</w:t>
            </w:r>
          </w:p>
        </w:tc>
        <w:tc>
          <w:tcPr>
            <w:tcW w:w="644" w:type="dxa"/>
            <w:tcBorders>
              <w:bottom w:val="double" w:color="auto" w:sz="4" w:space="0"/>
            </w:tcBorders>
            <w:vAlign w:val="center"/>
          </w:tcPr>
          <w:p>
            <w:pPr>
              <w:pStyle w:val="52"/>
              <w:spacing w:line="360" w:lineRule="auto"/>
              <w:rPr>
                <w:rFonts w:hint="eastAsia" w:eastAsia="宋体"/>
                <w:kern w:val="0"/>
                <w:sz w:val="21"/>
                <w:szCs w:val="21"/>
                <w:lang w:eastAsia="zh-CN"/>
              </w:rPr>
            </w:pPr>
            <w:r>
              <w:rPr>
                <w:rFonts w:hint="eastAsia"/>
                <w:kern w:val="0"/>
                <w:sz w:val="21"/>
                <w:szCs w:val="21"/>
                <w:lang w:val="en-US" w:eastAsia="zh-CN"/>
              </w:rPr>
              <w:t>14</w:t>
            </w:r>
          </w:p>
        </w:tc>
        <w:tc>
          <w:tcPr>
            <w:tcW w:w="4202" w:type="dxa"/>
            <w:tcBorders>
              <w:bottom w:val="double" w:color="auto" w:sz="4" w:space="0"/>
            </w:tcBorders>
            <w:vAlign w:val="center"/>
          </w:tcPr>
          <w:p>
            <w:pPr>
              <w:pStyle w:val="52"/>
              <w:spacing w:line="360" w:lineRule="auto"/>
            </w:pPr>
            <w:r>
              <w:rPr>
                <w:rFonts w:hint="eastAsia"/>
                <w:kern w:val="0"/>
                <w:sz w:val="21"/>
                <w:szCs w:val="21"/>
              </w:rPr>
              <w:t>钢筋笼制造与安装</w:t>
            </w:r>
          </w:p>
        </w:tc>
      </w:tr>
    </w:tbl>
    <w:p>
      <w:pPr>
        <w:spacing w:line="360" w:lineRule="auto"/>
        <w:outlineLvl w:val="1"/>
        <w:rPr>
          <w:rFonts w:ascii="宋体"/>
          <w:b/>
          <w:sz w:val="28"/>
          <w:szCs w:val="28"/>
        </w:rPr>
      </w:pPr>
      <w:bookmarkStart w:id="19" w:name="_Toc219450093"/>
      <w:bookmarkStart w:id="20" w:name="_Toc161976636"/>
      <w:bookmarkStart w:id="21" w:name="_Toc350517629"/>
      <w:bookmarkStart w:id="22" w:name="_Toc353351860"/>
      <w:r>
        <w:rPr>
          <w:rFonts w:ascii="宋体" w:hAnsi="宋体"/>
          <w:b/>
          <w:sz w:val="28"/>
          <w:szCs w:val="28"/>
        </w:rPr>
        <w:t>2.3</w:t>
      </w:r>
      <w:r>
        <w:rPr>
          <w:rFonts w:hint="eastAsia" w:ascii="宋体" w:hAnsi="宋体"/>
          <w:b/>
          <w:sz w:val="28"/>
          <w:szCs w:val="28"/>
        </w:rPr>
        <w:t>钻孔桩施工</w:t>
      </w:r>
      <w:bookmarkEnd w:id="19"/>
      <w:bookmarkEnd w:id="20"/>
      <w:r>
        <w:rPr>
          <w:rFonts w:hint="eastAsia" w:ascii="宋体" w:hAnsi="宋体"/>
          <w:b/>
          <w:sz w:val="28"/>
          <w:szCs w:val="28"/>
        </w:rPr>
        <w:t>机械设备及进场计划</w:t>
      </w:r>
      <w:bookmarkEnd w:id="21"/>
      <w:bookmarkEnd w:id="22"/>
    </w:p>
    <w:p>
      <w:pPr>
        <w:spacing w:line="360" w:lineRule="auto"/>
        <w:ind w:firstLine="354" w:firstLineChars="147"/>
        <w:outlineLvl w:val="2"/>
        <w:rPr>
          <w:rFonts w:ascii="宋体"/>
          <w:b/>
          <w:sz w:val="24"/>
        </w:rPr>
      </w:pPr>
      <w:bookmarkStart w:id="23" w:name="_Toc353351861"/>
      <w:r>
        <w:rPr>
          <w:rFonts w:ascii="宋体" w:hAnsi="宋体"/>
          <w:b/>
          <w:sz w:val="24"/>
        </w:rPr>
        <w:t>2.3.1</w:t>
      </w:r>
      <w:r>
        <w:rPr>
          <w:rFonts w:hint="eastAsia" w:ascii="宋体" w:hAnsi="宋体"/>
          <w:b/>
          <w:sz w:val="24"/>
        </w:rPr>
        <w:t>主要设备介绍</w:t>
      </w:r>
      <w:bookmarkEnd w:id="23"/>
    </w:p>
    <w:p>
      <w:pPr>
        <w:spacing w:line="360" w:lineRule="auto"/>
        <w:ind w:firstLine="480" w:firstLineChars="200"/>
        <w:jc w:val="left"/>
        <w:rPr>
          <w:rFonts w:ascii="宋体"/>
          <w:sz w:val="24"/>
        </w:rPr>
      </w:pPr>
      <w:r>
        <w:rPr>
          <w:rFonts w:ascii="宋体" w:hAnsi="宋体"/>
          <w:sz w:val="24"/>
        </w:rPr>
        <w:t>1</w:t>
      </w:r>
      <w:r>
        <w:rPr>
          <w:rFonts w:hint="eastAsia" w:ascii="宋体" w:hAnsi="宋体"/>
          <w:sz w:val="24"/>
        </w:rPr>
        <w:t>、钻机选用</w:t>
      </w:r>
      <w:r>
        <w:rPr>
          <w:rFonts w:hint="eastAsia" w:ascii="宋体" w:hAnsi="宋体"/>
          <w:sz w:val="24"/>
          <w:lang w:val="en-US" w:eastAsia="zh-CN"/>
        </w:rPr>
        <w:t>4</w:t>
      </w:r>
      <w:r>
        <w:rPr>
          <w:rFonts w:hint="eastAsia" w:ascii="宋体" w:hAnsi="宋体"/>
          <w:sz w:val="24"/>
        </w:rPr>
        <w:t>台山河智能</w:t>
      </w:r>
      <w:r>
        <w:rPr>
          <w:rFonts w:ascii="宋体" w:hAnsi="宋体"/>
          <w:sz w:val="24"/>
        </w:rPr>
        <w:t>280</w:t>
      </w:r>
      <w:r>
        <w:rPr>
          <w:rFonts w:hint="eastAsia" w:ascii="宋体" w:hAnsi="宋体"/>
          <w:sz w:val="24"/>
        </w:rPr>
        <w:t>型钻机、</w:t>
      </w:r>
      <w:r>
        <w:rPr>
          <w:rFonts w:hint="eastAsia" w:ascii="宋体" w:hAnsi="宋体"/>
          <w:sz w:val="24"/>
          <w:lang w:val="en-US" w:eastAsia="zh-CN"/>
        </w:rPr>
        <w:t>2</w:t>
      </w:r>
      <w:r>
        <w:rPr>
          <w:rFonts w:hint="eastAsia" w:ascii="宋体" w:hAnsi="宋体"/>
          <w:sz w:val="24"/>
        </w:rPr>
        <w:t>台徐工</w:t>
      </w:r>
      <w:r>
        <w:rPr>
          <w:rFonts w:ascii="宋体" w:hAnsi="宋体"/>
          <w:sz w:val="24"/>
        </w:rPr>
        <w:t>280</w:t>
      </w:r>
      <w:r>
        <w:rPr>
          <w:rFonts w:hint="eastAsia" w:ascii="宋体" w:hAnsi="宋体"/>
          <w:sz w:val="24"/>
        </w:rPr>
        <w:t>型钻机；</w:t>
      </w:r>
    </w:p>
    <w:p>
      <w:pPr>
        <w:spacing w:line="360" w:lineRule="auto"/>
        <w:ind w:firstLine="480" w:firstLineChars="200"/>
        <w:jc w:val="left"/>
        <w:rPr>
          <w:rFonts w:ascii="宋体"/>
          <w:sz w:val="24"/>
        </w:rPr>
      </w:pPr>
      <w:r>
        <w:rPr>
          <w:rFonts w:hint="eastAsia" w:ascii="宋体" w:hAnsi="宋体"/>
          <w:sz w:val="24"/>
        </w:rPr>
        <w:t>采用旋挖钻机钻进成孔，钻机技术参数见下表。</w:t>
      </w:r>
    </w:p>
    <w:p>
      <w:pPr>
        <w:spacing w:line="360" w:lineRule="auto"/>
        <w:ind w:firstLine="480" w:firstLineChars="200"/>
        <w:jc w:val="left"/>
        <w:rPr>
          <w:rFonts w:ascii="宋体"/>
          <w:sz w:val="24"/>
        </w:rPr>
      </w:pPr>
      <w:r>
        <w:rPr>
          <w:rFonts w:ascii="宋体" w:hAnsi="宋体"/>
          <w:sz w:val="24"/>
        </w:rPr>
        <w:t>2</w:t>
      </w:r>
      <w:r>
        <w:rPr>
          <w:rFonts w:hint="eastAsia" w:ascii="宋体" w:hAnsi="宋体"/>
          <w:sz w:val="24"/>
        </w:rPr>
        <w:t>、配备</w:t>
      </w:r>
      <w:r>
        <w:rPr>
          <w:rFonts w:ascii="宋体" w:hAnsi="宋体"/>
          <w:sz w:val="24"/>
        </w:rPr>
        <w:t>2</w:t>
      </w:r>
      <w:r>
        <w:rPr>
          <w:rFonts w:hint="eastAsia" w:ascii="宋体" w:hAnsi="宋体"/>
          <w:sz w:val="24"/>
        </w:rPr>
        <w:t>台造浆机</w:t>
      </w:r>
    </w:p>
    <w:p>
      <w:pPr>
        <w:spacing w:line="360" w:lineRule="auto"/>
        <w:ind w:firstLine="480" w:firstLineChars="200"/>
        <w:jc w:val="left"/>
        <w:rPr>
          <w:rFonts w:ascii="宋体"/>
          <w:sz w:val="24"/>
        </w:rPr>
      </w:pPr>
      <w:r>
        <w:rPr>
          <w:rFonts w:hint="eastAsia" w:ascii="宋体" w:hAnsi="宋体"/>
          <w:sz w:val="24"/>
        </w:rPr>
        <w:t>每台钻机开钻前，利用膨润土搅拌制造泥浆，泥浆指标为比重</w:t>
      </w:r>
      <w:r>
        <w:rPr>
          <w:rFonts w:ascii="宋体" w:hAnsi="宋体"/>
          <w:sz w:val="24"/>
        </w:rPr>
        <w:t>1.1g/cm</w:t>
      </w:r>
      <w:r>
        <w:rPr>
          <w:rFonts w:ascii="宋体" w:hAnsi="宋体"/>
          <w:sz w:val="24"/>
          <w:vertAlign w:val="superscript"/>
        </w:rPr>
        <w:t>3</w:t>
      </w:r>
      <w:r>
        <w:rPr>
          <w:rFonts w:ascii="宋体"/>
          <w:sz w:val="24"/>
        </w:rPr>
        <w:t>,</w:t>
      </w:r>
      <w:r>
        <w:rPr>
          <w:rFonts w:hint="eastAsia" w:ascii="宋体" w:hAnsi="宋体"/>
          <w:sz w:val="24"/>
        </w:rPr>
        <w:t>含沙量</w:t>
      </w:r>
      <w:r>
        <w:rPr>
          <w:rFonts w:hint="eastAsia" w:ascii="宋体" w:hAnsi="宋体" w:cs="宋体"/>
          <w:sz w:val="24"/>
        </w:rPr>
        <w:t>≦</w:t>
      </w:r>
      <w:r>
        <w:rPr>
          <w:rFonts w:ascii="Arial" w:hAnsi="Arial" w:cs="Arial"/>
          <w:sz w:val="24"/>
        </w:rPr>
        <w:t>1.5%</w:t>
      </w:r>
      <w:r>
        <w:rPr>
          <w:rFonts w:hint="eastAsia" w:ascii="Arial" w:hAnsi="Arial" w:cs="Arial"/>
          <w:sz w:val="24"/>
        </w:rPr>
        <w:t>，黏度</w:t>
      </w:r>
      <w:r>
        <w:rPr>
          <w:rFonts w:hint="eastAsia" w:ascii="宋体" w:hAnsi="宋体" w:cs="宋体"/>
          <w:sz w:val="24"/>
        </w:rPr>
        <w:t>≧</w:t>
      </w:r>
      <w:r>
        <w:rPr>
          <w:rFonts w:ascii="Arial" w:hAnsi="Arial" w:cs="Arial"/>
          <w:sz w:val="24"/>
        </w:rPr>
        <w:t>23 ,</w:t>
      </w:r>
      <w:r>
        <w:rPr>
          <w:rFonts w:hint="eastAsia" w:ascii="Arial" w:hAnsi="Arial" w:cs="Arial"/>
          <w:sz w:val="24"/>
        </w:rPr>
        <w:t>胶体率</w:t>
      </w:r>
      <w:r>
        <w:rPr>
          <w:rFonts w:hint="eastAsia" w:ascii="宋体" w:hAnsi="宋体" w:cs="宋体"/>
          <w:sz w:val="24"/>
        </w:rPr>
        <w:t>≧</w:t>
      </w:r>
      <w:r>
        <w:rPr>
          <w:rFonts w:ascii="Arial" w:hAnsi="Arial" w:cs="Arial"/>
          <w:sz w:val="24"/>
        </w:rPr>
        <w:t>96%</w:t>
      </w:r>
      <w:r>
        <w:rPr>
          <w:rFonts w:hint="eastAsia" w:ascii="Arial" w:hAnsi="Arial" w:cs="Arial"/>
          <w:sz w:val="24"/>
        </w:rPr>
        <w:t>。后期，结合现场的原土层（粘土等），混合造浆，确保满足施工要求，当泥浆液不满足施工要求的指标时，采取必要措施，如增加膨润土造浆、增加纤维素提高黏度等措施，确保施工顺利进行。</w:t>
      </w:r>
    </w:p>
    <w:p>
      <w:pPr>
        <w:spacing w:line="360" w:lineRule="auto"/>
        <w:ind w:firstLine="480" w:firstLineChars="200"/>
        <w:jc w:val="left"/>
        <w:rPr>
          <w:rFonts w:ascii="宋体"/>
          <w:sz w:val="24"/>
        </w:rPr>
      </w:pPr>
      <w:r>
        <w:rPr>
          <w:rFonts w:ascii="宋体" w:hAnsi="宋体"/>
          <w:sz w:val="24"/>
        </w:rPr>
        <w:t>3</w:t>
      </w:r>
      <w:r>
        <w:rPr>
          <w:rFonts w:hint="eastAsia" w:ascii="宋体" w:hAnsi="宋体"/>
          <w:sz w:val="24"/>
        </w:rPr>
        <w:t>、配备2台泥浆泵（</w:t>
      </w:r>
      <w:r>
        <w:rPr>
          <w:rFonts w:ascii="宋体" w:hAnsi="宋体"/>
          <w:sz w:val="24"/>
        </w:rPr>
        <w:t>7.5KW)</w:t>
      </w:r>
      <w:r>
        <w:rPr>
          <w:rFonts w:hint="eastAsia" w:ascii="宋体" w:hAnsi="宋体"/>
          <w:sz w:val="24"/>
        </w:rPr>
        <w:t>。</w:t>
      </w:r>
    </w:p>
    <w:p>
      <w:pPr>
        <w:spacing w:line="360" w:lineRule="auto"/>
        <w:ind w:firstLine="480" w:firstLineChars="200"/>
        <w:jc w:val="left"/>
        <w:rPr>
          <w:rFonts w:ascii="宋体"/>
          <w:sz w:val="24"/>
        </w:rPr>
      </w:pPr>
      <w:r>
        <w:rPr>
          <w:rFonts w:hint="eastAsia" w:ascii="宋体" w:hAnsi="宋体"/>
          <w:sz w:val="24"/>
        </w:rPr>
        <w:t>用于泥浆的抽入和抽出，也可用于现场排水、给水等。</w:t>
      </w:r>
    </w:p>
    <w:p>
      <w:pPr>
        <w:spacing w:line="360" w:lineRule="auto"/>
        <w:ind w:firstLine="480" w:firstLineChars="200"/>
        <w:jc w:val="left"/>
        <w:rPr>
          <w:rFonts w:ascii="宋体"/>
          <w:sz w:val="24"/>
        </w:rPr>
      </w:pPr>
      <w:r>
        <w:rPr>
          <w:rFonts w:ascii="宋体" w:hAnsi="宋体"/>
          <w:sz w:val="24"/>
        </w:rPr>
        <w:t>4</w:t>
      </w:r>
      <w:r>
        <w:rPr>
          <w:rFonts w:hint="eastAsia" w:ascii="宋体" w:hAnsi="宋体"/>
          <w:sz w:val="24"/>
        </w:rPr>
        <w:t>、</w:t>
      </w:r>
      <w:r>
        <w:rPr>
          <w:rFonts w:ascii="宋体" w:hAnsi="宋体"/>
          <w:sz w:val="24"/>
        </w:rPr>
        <w:t>25T</w:t>
      </w:r>
      <w:r>
        <w:rPr>
          <w:rFonts w:hint="eastAsia" w:ascii="宋体" w:hAnsi="宋体"/>
          <w:sz w:val="24"/>
        </w:rPr>
        <w:t>汽车吊机</w:t>
      </w:r>
      <w:r>
        <w:rPr>
          <w:rFonts w:hint="eastAsia" w:ascii="宋体" w:hAnsi="宋体"/>
          <w:sz w:val="24"/>
          <w:lang w:val="en-US" w:eastAsia="zh-CN"/>
        </w:rPr>
        <w:t>6</w:t>
      </w:r>
      <w:r>
        <w:rPr>
          <w:rFonts w:hint="eastAsia" w:ascii="宋体" w:hAnsi="宋体"/>
          <w:sz w:val="24"/>
        </w:rPr>
        <w:t>台</w:t>
      </w:r>
    </w:p>
    <w:p>
      <w:pPr>
        <w:spacing w:line="360" w:lineRule="auto"/>
        <w:ind w:firstLine="480" w:firstLineChars="200"/>
        <w:jc w:val="left"/>
        <w:rPr>
          <w:rFonts w:hint="eastAsia" w:ascii="宋体" w:hAnsi="宋体" w:eastAsia="宋体"/>
          <w:sz w:val="24"/>
          <w:lang w:val="en-US" w:eastAsia="zh-CN"/>
        </w:rPr>
      </w:pPr>
      <w:r>
        <w:rPr>
          <w:rFonts w:hint="eastAsia" w:ascii="宋体" w:hAnsi="宋体"/>
          <w:sz w:val="24"/>
        </w:rPr>
        <w:t>用于现场钢筋笼的转运和安装，配合钻机的施工。</w:t>
      </w:r>
    </w:p>
    <w:p>
      <w:pPr>
        <w:numPr>
          <w:ilvl w:val="0"/>
          <w:numId w:val="1"/>
        </w:numPr>
        <w:spacing w:line="360" w:lineRule="auto"/>
        <w:ind w:firstLine="480" w:firstLineChars="200"/>
        <w:jc w:val="left"/>
        <w:rPr>
          <w:rFonts w:ascii="宋体"/>
          <w:sz w:val="24"/>
        </w:rPr>
      </w:pPr>
      <w:r>
        <w:rPr>
          <w:rFonts w:hint="eastAsia" w:ascii="宋体" w:hAnsi="宋体"/>
          <w:sz w:val="24"/>
        </w:rPr>
        <w:t>电焊机</w:t>
      </w:r>
      <w:r>
        <w:rPr>
          <w:rFonts w:hint="eastAsia" w:ascii="宋体" w:hAnsi="宋体"/>
          <w:sz w:val="24"/>
          <w:lang w:val="en-US" w:eastAsia="zh-CN"/>
        </w:rPr>
        <w:t>6</w:t>
      </w:r>
      <w:r>
        <w:rPr>
          <w:rFonts w:hint="eastAsia" w:ascii="宋体" w:hAnsi="宋体"/>
          <w:sz w:val="24"/>
        </w:rPr>
        <w:t>台</w:t>
      </w:r>
    </w:p>
    <w:p>
      <w:pPr>
        <w:spacing w:line="360" w:lineRule="auto"/>
        <w:ind w:firstLine="480" w:firstLineChars="200"/>
        <w:jc w:val="left"/>
        <w:rPr>
          <w:rFonts w:ascii="宋体"/>
          <w:sz w:val="24"/>
        </w:rPr>
      </w:pPr>
      <w:r>
        <w:rPr>
          <w:rFonts w:hint="eastAsia" w:ascii="宋体" w:hAnsi="宋体"/>
          <w:sz w:val="24"/>
        </w:rPr>
        <w:t>用于现场钢筋笼的制作和安装。</w:t>
      </w:r>
    </w:p>
    <w:p>
      <w:pPr>
        <w:pStyle w:val="59"/>
        <w:spacing w:before="120" w:after="120" w:line="360" w:lineRule="auto"/>
      </w:pPr>
      <w:r>
        <w:rPr>
          <w:rFonts w:hint="eastAsia"/>
        </w:rPr>
        <w:t>表</w:t>
      </w:r>
      <w:r>
        <w:t xml:space="preserve">2-2 </w:t>
      </w:r>
      <w:r>
        <w:rPr>
          <w:rFonts w:hint="eastAsia" w:ascii="宋体" w:hAnsi="宋体"/>
          <w:bCs/>
          <w:szCs w:val="21"/>
        </w:rPr>
        <w:t>徐工</w:t>
      </w:r>
      <w:r>
        <w:rPr>
          <w:rFonts w:ascii="宋体" w:hAnsi="宋体"/>
          <w:bCs/>
          <w:szCs w:val="21"/>
        </w:rPr>
        <w:t>SR280</w:t>
      </w:r>
      <w:r>
        <w:rPr>
          <w:rFonts w:hint="eastAsia"/>
        </w:rPr>
        <w:t>型液压钻机技术参数表</w:t>
      </w:r>
    </w:p>
    <w:tbl>
      <w:tblPr>
        <w:tblStyle w:val="29"/>
        <w:tblW w:w="567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37"/>
        <w:gridCol w:w="28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6" w:hRule="atLeast"/>
          <w:jc w:val="center"/>
        </w:trPr>
        <w:tc>
          <w:tcPr>
            <w:tcW w:w="2837" w:type="dxa"/>
          </w:tcPr>
          <w:p>
            <w:pPr>
              <w:pStyle w:val="59"/>
              <w:spacing w:before="120" w:after="120" w:line="360" w:lineRule="auto"/>
              <w:rPr>
                <w:sz w:val="24"/>
                <w:szCs w:val="24"/>
              </w:rPr>
            </w:pPr>
            <w:r>
              <w:rPr>
                <w:rFonts w:ascii="宋体" w:hAnsi="宋体"/>
                <w:bCs/>
                <w:sz w:val="24"/>
                <w:szCs w:val="24"/>
              </w:rPr>
              <w:t>SR280</w:t>
            </w:r>
          </w:p>
        </w:tc>
        <w:tc>
          <w:tcPr>
            <w:tcW w:w="2835" w:type="dxa"/>
          </w:tcPr>
          <w:p>
            <w:pPr>
              <w:pStyle w:val="59"/>
              <w:spacing w:before="120" w:after="120" w:line="360" w:lineRule="auto"/>
              <w:rPr>
                <w:rFonts w:ascii="宋体"/>
                <w:b w:val="0"/>
                <w:sz w:val="24"/>
                <w:szCs w:val="24"/>
              </w:rPr>
            </w:pPr>
            <w:r>
              <w:rPr>
                <w:rFonts w:hint="eastAsia" w:ascii="宋体" w:hAnsi="宋体"/>
                <w:b w:val="0"/>
                <w:sz w:val="24"/>
                <w:szCs w:val="24"/>
              </w:rPr>
              <w:t>打</w:t>
            </w:r>
            <w:r>
              <w:rPr>
                <w:rFonts w:ascii="宋体" w:hAnsi="宋体"/>
                <w:b w:val="0"/>
                <w:sz w:val="24"/>
                <w:szCs w:val="24"/>
              </w:rPr>
              <w:t>2.3m*84m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exact"/>
          <w:jc w:val="center"/>
        </w:trPr>
        <w:tc>
          <w:tcPr>
            <w:tcW w:w="2837" w:type="dxa"/>
          </w:tcPr>
          <w:p>
            <w:pPr>
              <w:pStyle w:val="59"/>
              <w:spacing w:before="120" w:after="120" w:line="360" w:lineRule="auto"/>
              <w:rPr>
                <w:rFonts w:ascii="宋体"/>
                <w:b w:val="0"/>
                <w:bCs/>
                <w:sz w:val="24"/>
                <w:szCs w:val="24"/>
              </w:rPr>
            </w:pPr>
            <w:r>
              <w:rPr>
                <w:rFonts w:hint="eastAsia" w:ascii="宋体" w:hAnsi="宋体"/>
                <w:b w:val="0"/>
                <w:bCs/>
                <w:sz w:val="24"/>
                <w:szCs w:val="24"/>
              </w:rPr>
              <w:t>最大输出扭矩</w:t>
            </w:r>
          </w:p>
        </w:tc>
        <w:tc>
          <w:tcPr>
            <w:tcW w:w="2835" w:type="dxa"/>
          </w:tcPr>
          <w:p>
            <w:pPr>
              <w:pStyle w:val="59"/>
              <w:spacing w:before="120" w:after="120" w:line="360" w:lineRule="auto"/>
              <w:rPr>
                <w:rFonts w:ascii="宋体"/>
                <w:b w:val="0"/>
                <w:bCs/>
                <w:sz w:val="24"/>
                <w:szCs w:val="24"/>
              </w:rPr>
            </w:pPr>
            <w:r>
              <w:rPr>
                <w:rFonts w:ascii="宋体" w:hAnsi="宋体"/>
                <w:b w:val="0"/>
                <w:bCs/>
                <w:sz w:val="24"/>
                <w:szCs w:val="24"/>
              </w:rPr>
              <w:t>285kN.m(203686lbf.ft)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exact"/>
          <w:jc w:val="center"/>
        </w:trPr>
        <w:tc>
          <w:tcPr>
            <w:tcW w:w="2837" w:type="dxa"/>
          </w:tcPr>
          <w:p>
            <w:pPr>
              <w:pStyle w:val="59"/>
              <w:spacing w:before="120" w:after="120" w:line="360" w:lineRule="auto"/>
              <w:rPr>
                <w:rFonts w:ascii="宋体"/>
                <w:b w:val="0"/>
                <w:bCs/>
                <w:sz w:val="24"/>
                <w:szCs w:val="24"/>
              </w:rPr>
            </w:pPr>
            <w:r>
              <w:rPr>
                <w:rFonts w:hint="eastAsia" w:ascii="宋体" w:hAnsi="宋体"/>
                <w:b w:val="0"/>
                <w:bCs/>
                <w:sz w:val="24"/>
                <w:szCs w:val="24"/>
              </w:rPr>
              <w:t>钻孔转速</w:t>
            </w:r>
          </w:p>
        </w:tc>
        <w:tc>
          <w:tcPr>
            <w:tcW w:w="2835" w:type="dxa"/>
          </w:tcPr>
          <w:p>
            <w:pPr>
              <w:pStyle w:val="59"/>
              <w:spacing w:before="120" w:after="120" w:line="360" w:lineRule="auto"/>
              <w:rPr>
                <w:rFonts w:ascii="宋体"/>
                <w:b w:val="0"/>
                <w:bCs/>
                <w:sz w:val="24"/>
                <w:szCs w:val="24"/>
              </w:rPr>
            </w:pPr>
            <w:r>
              <w:rPr>
                <w:rFonts w:ascii="宋体" w:hAnsi="宋体"/>
                <w:b w:val="0"/>
                <w:bCs/>
                <w:sz w:val="24"/>
                <w:szCs w:val="24"/>
              </w:rPr>
              <w:t>7-30rpm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exact"/>
          <w:jc w:val="center"/>
        </w:trPr>
        <w:tc>
          <w:tcPr>
            <w:tcW w:w="2837" w:type="dxa"/>
          </w:tcPr>
          <w:p>
            <w:pPr>
              <w:pStyle w:val="59"/>
              <w:spacing w:before="120" w:after="120" w:line="360" w:lineRule="auto"/>
              <w:rPr>
                <w:rFonts w:ascii="宋体"/>
                <w:b w:val="0"/>
                <w:bCs/>
                <w:sz w:val="24"/>
                <w:szCs w:val="24"/>
              </w:rPr>
            </w:pPr>
            <w:r>
              <w:rPr>
                <w:rFonts w:hint="eastAsia" w:ascii="宋体" w:hAnsi="宋体"/>
                <w:b w:val="0"/>
                <w:bCs/>
                <w:sz w:val="24"/>
                <w:szCs w:val="24"/>
              </w:rPr>
              <w:t>最大加压力</w:t>
            </w:r>
          </w:p>
        </w:tc>
        <w:tc>
          <w:tcPr>
            <w:tcW w:w="2835" w:type="dxa"/>
          </w:tcPr>
          <w:p>
            <w:pPr>
              <w:pStyle w:val="59"/>
              <w:spacing w:before="120" w:after="120" w:line="360" w:lineRule="auto"/>
              <w:rPr>
                <w:rFonts w:ascii="宋体"/>
                <w:b w:val="0"/>
                <w:bCs/>
                <w:sz w:val="24"/>
                <w:szCs w:val="24"/>
              </w:rPr>
            </w:pPr>
            <w:r>
              <w:rPr>
                <w:rFonts w:ascii="宋体" w:hAnsi="宋体"/>
                <w:b w:val="0"/>
                <w:bCs/>
                <w:sz w:val="24"/>
                <w:szCs w:val="24"/>
              </w:rPr>
              <w:t>230kN(51706lbf)</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exact"/>
          <w:jc w:val="center"/>
        </w:trPr>
        <w:tc>
          <w:tcPr>
            <w:tcW w:w="2837" w:type="dxa"/>
          </w:tcPr>
          <w:p>
            <w:pPr>
              <w:pStyle w:val="59"/>
              <w:spacing w:before="120" w:after="120" w:line="360" w:lineRule="auto"/>
              <w:rPr>
                <w:rFonts w:ascii="宋体"/>
                <w:b w:val="0"/>
                <w:bCs/>
                <w:sz w:val="24"/>
                <w:szCs w:val="24"/>
              </w:rPr>
            </w:pPr>
            <w:r>
              <w:rPr>
                <w:rFonts w:hint="eastAsia" w:ascii="宋体" w:hAnsi="宋体"/>
                <w:b w:val="0"/>
                <w:bCs/>
                <w:sz w:val="24"/>
                <w:szCs w:val="24"/>
              </w:rPr>
              <w:t>最大起拔力</w:t>
            </w:r>
          </w:p>
        </w:tc>
        <w:tc>
          <w:tcPr>
            <w:tcW w:w="2835" w:type="dxa"/>
          </w:tcPr>
          <w:p>
            <w:pPr>
              <w:pStyle w:val="59"/>
              <w:spacing w:before="120" w:after="120" w:line="360" w:lineRule="auto"/>
              <w:rPr>
                <w:rFonts w:ascii="宋体"/>
                <w:b w:val="0"/>
                <w:bCs/>
                <w:sz w:val="24"/>
                <w:szCs w:val="24"/>
              </w:rPr>
            </w:pPr>
            <w:r>
              <w:rPr>
                <w:rFonts w:ascii="宋体" w:hAnsi="宋体"/>
                <w:b w:val="0"/>
                <w:bCs/>
                <w:sz w:val="24"/>
                <w:szCs w:val="24"/>
              </w:rPr>
              <w:t>230kN(51706lbf)</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Ex>
        <w:trPr>
          <w:trHeight w:val="567" w:hRule="exact"/>
          <w:jc w:val="center"/>
        </w:trPr>
        <w:tc>
          <w:tcPr>
            <w:tcW w:w="2837" w:type="dxa"/>
          </w:tcPr>
          <w:p>
            <w:pPr>
              <w:pStyle w:val="59"/>
              <w:spacing w:before="120" w:after="120" w:line="360" w:lineRule="auto"/>
              <w:rPr>
                <w:rFonts w:ascii="宋体"/>
                <w:b w:val="0"/>
                <w:bCs/>
                <w:sz w:val="24"/>
                <w:szCs w:val="24"/>
              </w:rPr>
            </w:pPr>
            <w:r>
              <w:rPr>
                <w:rFonts w:hint="eastAsia" w:ascii="宋体" w:hAnsi="宋体"/>
                <w:b w:val="0"/>
                <w:bCs/>
                <w:sz w:val="24"/>
                <w:szCs w:val="24"/>
              </w:rPr>
              <w:t>加压形式</w:t>
            </w:r>
          </w:p>
        </w:tc>
        <w:tc>
          <w:tcPr>
            <w:tcW w:w="2835" w:type="dxa"/>
          </w:tcPr>
          <w:p>
            <w:pPr>
              <w:pStyle w:val="59"/>
              <w:spacing w:before="120" w:after="120" w:line="360" w:lineRule="auto"/>
              <w:rPr>
                <w:rFonts w:ascii="宋体"/>
                <w:b w:val="0"/>
                <w:bCs/>
                <w:sz w:val="24"/>
                <w:szCs w:val="24"/>
              </w:rPr>
            </w:pPr>
            <w:r>
              <w:rPr>
                <w:rFonts w:hint="eastAsia" w:ascii="宋体" w:hAnsi="宋体"/>
                <w:b w:val="0"/>
                <w:bCs/>
                <w:sz w:val="24"/>
                <w:szCs w:val="24"/>
              </w:rPr>
              <w:t>卷扬加压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exact"/>
          <w:jc w:val="center"/>
        </w:trPr>
        <w:tc>
          <w:tcPr>
            <w:tcW w:w="2837" w:type="dxa"/>
          </w:tcPr>
          <w:p>
            <w:pPr>
              <w:pStyle w:val="59"/>
              <w:spacing w:before="120" w:after="120" w:line="360" w:lineRule="auto"/>
              <w:rPr>
                <w:rFonts w:ascii="宋体"/>
                <w:b w:val="0"/>
                <w:bCs/>
                <w:sz w:val="24"/>
                <w:szCs w:val="24"/>
              </w:rPr>
            </w:pPr>
            <w:r>
              <w:rPr>
                <w:rFonts w:hint="eastAsia" w:ascii="宋体" w:hAnsi="宋体"/>
                <w:b w:val="0"/>
                <w:bCs/>
                <w:sz w:val="24"/>
                <w:szCs w:val="24"/>
              </w:rPr>
              <w:t>加压行程</w:t>
            </w:r>
          </w:p>
        </w:tc>
        <w:tc>
          <w:tcPr>
            <w:tcW w:w="2835" w:type="dxa"/>
          </w:tcPr>
          <w:p>
            <w:pPr>
              <w:pStyle w:val="59"/>
              <w:spacing w:before="120" w:after="120" w:line="360" w:lineRule="auto"/>
              <w:rPr>
                <w:rFonts w:ascii="宋体"/>
                <w:b w:val="0"/>
                <w:bCs/>
                <w:sz w:val="24"/>
                <w:szCs w:val="24"/>
              </w:rPr>
            </w:pPr>
            <w:r>
              <w:rPr>
                <w:rFonts w:ascii="宋体" w:hAnsi="宋体"/>
                <w:b w:val="0"/>
                <w:bCs/>
                <w:sz w:val="24"/>
                <w:szCs w:val="24"/>
              </w:rPr>
              <w:t>12100mm(39'8')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exact"/>
          <w:jc w:val="center"/>
        </w:trPr>
        <w:tc>
          <w:tcPr>
            <w:tcW w:w="2837" w:type="dxa"/>
          </w:tcPr>
          <w:p>
            <w:pPr>
              <w:pStyle w:val="59"/>
              <w:spacing w:before="120" w:after="120" w:line="360" w:lineRule="auto"/>
              <w:rPr>
                <w:rFonts w:ascii="宋体"/>
                <w:b w:val="0"/>
                <w:bCs/>
                <w:sz w:val="24"/>
                <w:szCs w:val="24"/>
              </w:rPr>
            </w:pPr>
            <w:r>
              <w:rPr>
                <w:rFonts w:hint="eastAsia" w:ascii="宋体" w:hAnsi="宋体"/>
                <w:b w:val="0"/>
                <w:bCs/>
                <w:sz w:val="24"/>
                <w:szCs w:val="24"/>
              </w:rPr>
              <w:t>桅杆左右倾斜角度</w:t>
            </w:r>
          </w:p>
        </w:tc>
        <w:tc>
          <w:tcPr>
            <w:tcW w:w="2835" w:type="dxa"/>
          </w:tcPr>
          <w:p>
            <w:pPr>
              <w:pStyle w:val="59"/>
              <w:spacing w:before="120" w:after="120" w:line="360" w:lineRule="auto"/>
              <w:rPr>
                <w:rFonts w:ascii="宋体"/>
                <w:b w:val="0"/>
                <w:bCs/>
                <w:sz w:val="24"/>
                <w:szCs w:val="24"/>
              </w:rPr>
            </w:pPr>
            <w:r>
              <w:rPr>
                <w:rFonts w:hint="eastAsia" w:ascii="宋体"/>
                <w:b w:val="0"/>
                <w:bCs/>
                <w:sz w:val="24"/>
                <w:szCs w:val="24"/>
              </w:rPr>
              <w:t>±</w:t>
            </w:r>
            <w:r>
              <w:rPr>
                <w:rFonts w:ascii="宋体" w:hAnsi="宋体"/>
                <w:b w:val="0"/>
                <w:bCs/>
                <w:sz w:val="24"/>
                <w:szCs w:val="24"/>
              </w:rPr>
              <w:t>6</w:t>
            </w:r>
            <w:r>
              <w:rPr>
                <w:rFonts w:hint="eastAsia" w:ascii="宋体" w:hAnsi="宋体"/>
                <w:b w:val="0"/>
                <w:bCs/>
                <w:sz w:val="24"/>
                <w:szCs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exact"/>
          <w:jc w:val="center"/>
        </w:trPr>
        <w:tc>
          <w:tcPr>
            <w:tcW w:w="2837" w:type="dxa"/>
          </w:tcPr>
          <w:p>
            <w:pPr>
              <w:pStyle w:val="59"/>
              <w:spacing w:before="120" w:after="120" w:line="360" w:lineRule="auto"/>
              <w:rPr>
                <w:rFonts w:ascii="宋体"/>
                <w:b w:val="0"/>
                <w:bCs/>
                <w:sz w:val="24"/>
                <w:szCs w:val="24"/>
              </w:rPr>
            </w:pPr>
            <w:r>
              <w:rPr>
                <w:rFonts w:hint="eastAsia" w:ascii="宋体" w:hAnsi="宋体"/>
                <w:b w:val="0"/>
                <w:bCs/>
                <w:sz w:val="24"/>
                <w:szCs w:val="24"/>
              </w:rPr>
              <w:t>桅杆前倾角度</w:t>
            </w:r>
          </w:p>
        </w:tc>
        <w:tc>
          <w:tcPr>
            <w:tcW w:w="2835" w:type="dxa"/>
          </w:tcPr>
          <w:p>
            <w:pPr>
              <w:pStyle w:val="59"/>
              <w:spacing w:before="120" w:after="120" w:line="360" w:lineRule="auto"/>
              <w:rPr>
                <w:rFonts w:ascii="宋体"/>
                <w:b w:val="0"/>
                <w:bCs/>
                <w:sz w:val="24"/>
                <w:szCs w:val="24"/>
              </w:rPr>
            </w:pPr>
            <w:r>
              <w:rPr>
                <w:rFonts w:ascii="宋体" w:hAnsi="宋体"/>
                <w:b w:val="0"/>
                <w:bCs/>
                <w:sz w:val="24"/>
                <w:szCs w:val="24"/>
              </w:rPr>
              <w:t>5</w:t>
            </w:r>
            <w:r>
              <w:rPr>
                <w:rFonts w:hint="eastAsia" w:ascii="宋体" w:hAnsi="宋体"/>
                <w:b w:val="0"/>
                <w:bCs/>
                <w:sz w:val="24"/>
                <w:szCs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exact"/>
          <w:jc w:val="center"/>
        </w:trPr>
        <w:tc>
          <w:tcPr>
            <w:tcW w:w="2837" w:type="dxa"/>
          </w:tcPr>
          <w:p>
            <w:pPr>
              <w:pStyle w:val="59"/>
              <w:spacing w:before="120" w:after="120" w:line="360" w:lineRule="auto"/>
              <w:rPr>
                <w:rFonts w:ascii="宋体"/>
                <w:b w:val="0"/>
                <w:bCs/>
                <w:sz w:val="24"/>
                <w:szCs w:val="24"/>
              </w:rPr>
            </w:pPr>
            <w:r>
              <w:rPr>
                <w:rFonts w:hint="eastAsia" w:ascii="宋体" w:hAnsi="宋体"/>
                <w:b w:val="0"/>
                <w:bCs/>
                <w:sz w:val="24"/>
                <w:szCs w:val="24"/>
              </w:rPr>
              <w:t>主卷扬提升力</w:t>
            </w:r>
            <w:r>
              <w:rPr>
                <w:rFonts w:ascii="宋体" w:hAnsi="宋体"/>
                <w:b w:val="0"/>
                <w:bCs/>
                <w:sz w:val="24"/>
                <w:szCs w:val="24"/>
              </w:rPr>
              <w:t>(</w:t>
            </w:r>
            <w:r>
              <w:rPr>
                <w:rFonts w:hint="eastAsia" w:ascii="宋体" w:hAnsi="宋体"/>
                <w:b w:val="0"/>
                <w:bCs/>
                <w:sz w:val="24"/>
                <w:szCs w:val="24"/>
              </w:rPr>
              <w:t>第一层</w:t>
            </w:r>
            <w:r>
              <w:rPr>
                <w:rFonts w:ascii="宋体" w:hAnsi="宋体"/>
                <w:b w:val="0"/>
                <w:bCs/>
                <w:sz w:val="24"/>
                <w:szCs w:val="24"/>
              </w:rPr>
              <w:t>)</w:t>
            </w:r>
          </w:p>
        </w:tc>
        <w:tc>
          <w:tcPr>
            <w:tcW w:w="2835" w:type="dxa"/>
          </w:tcPr>
          <w:p>
            <w:pPr>
              <w:pStyle w:val="59"/>
              <w:spacing w:before="120" w:after="120" w:line="360" w:lineRule="auto"/>
              <w:rPr>
                <w:rFonts w:ascii="宋体"/>
                <w:b w:val="0"/>
                <w:bCs/>
                <w:sz w:val="24"/>
                <w:szCs w:val="24"/>
              </w:rPr>
            </w:pPr>
            <w:r>
              <w:rPr>
                <w:rFonts w:ascii="宋体" w:hAnsi="宋体"/>
                <w:b w:val="0"/>
                <w:bCs/>
                <w:sz w:val="24"/>
                <w:szCs w:val="24"/>
              </w:rPr>
              <w:t>256kN(57551lbf)</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exact"/>
          <w:jc w:val="center"/>
        </w:trPr>
        <w:tc>
          <w:tcPr>
            <w:tcW w:w="2837" w:type="dxa"/>
          </w:tcPr>
          <w:p>
            <w:pPr>
              <w:pStyle w:val="59"/>
              <w:spacing w:before="120" w:after="120" w:line="360" w:lineRule="auto"/>
              <w:rPr>
                <w:rFonts w:ascii="宋体"/>
                <w:b w:val="0"/>
                <w:bCs/>
                <w:sz w:val="24"/>
                <w:szCs w:val="24"/>
              </w:rPr>
            </w:pPr>
            <w:r>
              <w:rPr>
                <w:rFonts w:hint="eastAsia" w:ascii="宋体" w:hAnsi="宋体"/>
                <w:b w:val="0"/>
                <w:bCs/>
                <w:sz w:val="24"/>
                <w:szCs w:val="24"/>
              </w:rPr>
              <w:t>主卷扬钢丝绳直径</w:t>
            </w:r>
          </w:p>
        </w:tc>
        <w:tc>
          <w:tcPr>
            <w:tcW w:w="2835" w:type="dxa"/>
          </w:tcPr>
          <w:p>
            <w:pPr>
              <w:pStyle w:val="59"/>
              <w:spacing w:before="120" w:after="120" w:line="360" w:lineRule="auto"/>
              <w:rPr>
                <w:rFonts w:ascii="宋体"/>
                <w:b w:val="0"/>
                <w:bCs/>
                <w:sz w:val="24"/>
                <w:szCs w:val="24"/>
              </w:rPr>
            </w:pPr>
            <w:r>
              <w:rPr>
                <w:rFonts w:ascii="宋体" w:hAnsi="宋体"/>
                <w:b w:val="0"/>
                <w:bCs/>
                <w:sz w:val="24"/>
                <w:szCs w:val="24"/>
              </w:rPr>
              <w:t>32mm(1.3')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Ex>
        <w:trPr>
          <w:trHeight w:val="567" w:hRule="exact"/>
          <w:jc w:val="center"/>
        </w:trPr>
        <w:tc>
          <w:tcPr>
            <w:tcW w:w="2837" w:type="dxa"/>
          </w:tcPr>
          <w:p>
            <w:pPr>
              <w:pStyle w:val="59"/>
              <w:spacing w:before="120" w:after="120" w:line="360" w:lineRule="auto"/>
              <w:rPr>
                <w:rFonts w:ascii="宋体"/>
                <w:b w:val="0"/>
                <w:bCs/>
                <w:sz w:val="24"/>
                <w:szCs w:val="24"/>
              </w:rPr>
            </w:pPr>
            <w:r>
              <w:rPr>
                <w:rFonts w:hint="eastAsia" w:ascii="宋体" w:hAnsi="宋体"/>
                <w:b w:val="0"/>
                <w:bCs/>
                <w:sz w:val="24"/>
                <w:szCs w:val="24"/>
              </w:rPr>
              <w:t>主卷扬提升速度</w:t>
            </w:r>
          </w:p>
        </w:tc>
        <w:tc>
          <w:tcPr>
            <w:tcW w:w="2835" w:type="dxa"/>
          </w:tcPr>
          <w:p>
            <w:pPr>
              <w:pStyle w:val="59"/>
              <w:spacing w:before="120" w:after="120" w:line="360" w:lineRule="auto"/>
              <w:rPr>
                <w:rFonts w:ascii="宋体"/>
                <w:b w:val="0"/>
                <w:bCs/>
                <w:sz w:val="24"/>
                <w:szCs w:val="24"/>
              </w:rPr>
            </w:pPr>
            <w:r>
              <w:rPr>
                <w:rFonts w:ascii="宋体" w:hAnsi="宋体"/>
                <w:b w:val="0"/>
                <w:bCs/>
                <w:sz w:val="24"/>
                <w:szCs w:val="24"/>
              </w:rPr>
              <w:t>63m/min(207ft/min)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exact"/>
          <w:jc w:val="center"/>
        </w:trPr>
        <w:tc>
          <w:tcPr>
            <w:tcW w:w="2837" w:type="dxa"/>
          </w:tcPr>
          <w:p>
            <w:pPr>
              <w:pStyle w:val="59"/>
              <w:spacing w:before="120" w:after="120" w:line="360" w:lineRule="auto"/>
              <w:rPr>
                <w:rFonts w:ascii="宋体"/>
                <w:b w:val="0"/>
                <w:bCs/>
                <w:sz w:val="24"/>
                <w:szCs w:val="24"/>
              </w:rPr>
            </w:pPr>
            <w:r>
              <w:rPr>
                <w:rFonts w:hint="eastAsia" w:ascii="宋体" w:hAnsi="宋体"/>
                <w:b w:val="0"/>
                <w:bCs/>
                <w:sz w:val="24"/>
                <w:szCs w:val="24"/>
              </w:rPr>
              <w:t>辅卷扬提升力</w:t>
            </w:r>
            <w:r>
              <w:rPr>
                <w:rFonts w:ascii="宋体" w:hAnsi="宋体"/>
                <w:b w:val="0"/>
                <w:bCs/>
                <w:sz w:val="24"/>
                <w:szCs w:val="24"/>
              </w:rPr>
              <w:t>(</w:t>
            </w:r>
            <w:r>
              <w:rPr>
                <w:rFonts w:hint="eastAsia" w:ascii="宋体" w:hAnsi="宋体"/>
                <w:b w:val="0"/>
                <w:bCs/>
                <w:sz w:val="24"/>
                <w:szCs w:val="24"/>
              </w:rPr>
              <w:t>第一层</w:t>
            </w:r>
            <w:r>
              <w:rPr>
                <w:rFonts w:ascii="宋体" w:hAnsi="宋体"/>
                <w:b w:val="0"/>
                <w:bCs/>
                <w:sz w:val="24"/>
                <w:szCs w:val="24"/>
              </w:rPr>
              <w:t>)</w:t>
            </w:r>
          </w:p>
        </w:tc>
        <w:tc>
          <w:tcPr>
            <w:tcW w:w="2835" w:type="dxa"/>
          </w:tcPr>
          <w:p>
            <w:pPr>
              <w:pStyle w:val="59"/>
              <w:spacing w:before="120" w:after="120" w:line="360" w:lineRule="auto"/>
              <w:rPr>
                <w:rFonts w:ascii="宋体"/>
                <w:b w:val="0"/>
                <w:bCs/>
                <w:sz w:val="24"/>
                <w:szCs w:val="24"/>
              </w:rPr>
            </w:pPr>
            <w:r>
              <w:rPr>
                <w:rFonts w:ascii="宋体" w:hAnsi="宋体"/>
                <w:b w:val="0"/>
                <w:bCs/>
                <w:sz w:val="24"/>
                <w:szCs w:val="24"/>
              </w:rPr>
              <w:t>110kN(24729lbf)</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exact"/>
          <w:jc w:val="center"/>
        </w:trPr>
        <w:tc>
          <w:tcPr>
            <w:tcW w:w="2837" w:type="dxa"/>
          </w:tcPr>
          <w:p>
            <w:pPr>
              <w:pStyle w:val="59"/>
              <w:spacing w:before="120" w:after="120" w:line="360" w:lineRule="auto"/>
              <w:rPr>
                <w:rFonts w:ascii="宋体"/>
                <w:b w:val="0"/>
                <w:bCs/>
                <w:sz w:val="24"/>
                <w:szCs w:val="24"/>
              </w:rPr>
            </w:pPr>
            <w:r>
              <w:rPr>
                <w:rFonts w:hint="eastAsia" w:ascii="宋体" w:hAnsi="宋体"/>
                <w:b w:val="0"/>
                <w:bCs/>
                <w:sz w:val="24"/>
                <w:szCs w:val="24"/>
              </w:rPr>
              <w:t>辅卷扬钢丝绳直径</w:t>
            </w:r>
          </w:p>
        </w:tc>
        <w:tc>
          <w:tcPr>
            <w:tcW w:w="2835" w:type="dxa"/>
          </w:tcPr>
          <w:p>
            <w:pPr>
              <w:pStyle w:val="59"/>
              <w:spacing w:before="120" w:after="120" w:line="360" w:lineRule="auto"/>
              <w:rPr>
                <w:rFonts w:ascii="宋体"/>
                <w:b w:val="0"/>
                <w:bCs/>
                <w:sz w:val="24"/>
                <w:szCs w:val="24"/>
              </w:rPr>
            </w:pPr>
            <w:r>
              <w:rPr>
                <w:rFonts w:ascii="宋体" w:hAnsi="宋体"/>
                <w:b w:val="0"/>
                <w:bCs/>
                <w:sz w:val="24"/>
                <w:szCs w:val="24"/>
              </w:rPr>
              <w:t>20mm(0.8')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exact"/>
          <w:jc w:val="center"/>
        </w:trPr>
        <w:tc>
          <w:tcPr>
            <w:tcW w:w="2837" w:type="dxa"/>
          </w:tcPr>
          <w:p>
            <w:pPr>
              <w:pStyle w:val="59"/>
              <w:spacing w:before="120" w:after="120" w:line="360" w:lineRule="auto"/>
              <w:rPr>
                <w:rFonts w:ascii="宋体"/>
                <w:b w:val="0"/>
                <w:bCs/>
                <w:sz w:val="24"/>
                <w:szCs w:val="24"/>
              </w:rPr>
            </w:pPr>
            <w:r>
              <w:rPr>
                <w:rFonts w:hint="eastAsia" w:ascii="宋体" w:hAnsi="宋体"/>
                <w:b w:val="0"/>
                <w:bCs/>
                <w:sz w:val="24"/>
                <w:szCs w:val="24"/>
              </w:rPr>
              <w:t>辅卷扬提升速度</w:t>
            </w:r>
          </w:p>
        </w:tc>
        <w:tc>
          <w:tcPr>
            <w:tcW w:w="2835" w:type="dxa"/>
          </w:tcPr>
          <w:p>
            <w:pPr>
              <w:pStyle w:val="59"/>
              <w:spacing w:before="120" w:after="120" w:line="360" w:lineRule="auto"/>
              <w:rPr>
                <w:rFonts w:ascii="宋体"/>
                <w:b w:val="0"/>
                <w:bCs/>
                <w:sz w:val="24"/>
                <w:szCs w:val="24"/>
              </w:rPr>
            </w:pPr>
            <w:r>
              <w:rPr>
                <w:rFonts w:ascii="宋体" w:hAnsi="宋体"/>
                <w:b w:val="0"/>
                <w:bCs/>
                <w:sz w:val="24"/>
                <w:szCs w:val="24"/>
              </w:rPr>
              <w:t>70m/min(230ft/min)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exact"/>
          <w:jc w:val="center"/>
        </w:trPr>
        <w:tc>
          <w:tcPr>
            <w:tcW w:w="2837" w:type="dxa"/>
          </w:tcPr>
          <w:p>
            <w:pPr>
              <w:pStyle w:val="59"/>
              <w:spacing w:before="120" w:after="120" w:line="360" w:lineRule="auto"/>
              <w:rPr>
                <w:rFonts w:ascii="宋体"/>
                <w:b w:val="0"/>
                <w:bCs/>
                <w:sz w:val="24"/>
                <w:szCs w:val="24"/>
              </w:rPr>
            </w:pPr>
            <w:r>
              <w:rPr>
                <w:rFonts w:hint="eastAsia" w:ascii="宋体" w:hAnsi="宋体"/>
                <w:b w:val="0"/>
                <w:bCs/>
                <w:sz w:val="24"/>
                <w:szCs w:val="24"/>
              </w:rPr>
              <w:t>工作状态宽度</w:t>
            </w:r>
          </w:p>
        </w:tc>
        <w:tc>
          <w:tcPr>
            <w:tcW w:w="2835" w:type="dxa"/>
          </w:tcPr>
          <w:p>
            <w:pPr>
              <w:pStyle w:val="59"/>
              <w:spacing w:before="120" w:after="120" w:line="360" w:lineRule="auto"/>
              <w:rPr>
                <w:rFonts w:ascii="宋体"/>
                <w:b w:val="0"/>
                <w:bCs/>
                <w:sz w:val="24"/>
                <w:szCs w:val="24"/>
              </w:rPr>
            </w:pPr>
            <w:r>
              <w:rPr>
                <w:rFonts w:ascii="宋体" w:hAnsi="宋体"/>
                <w:b w:val="0"/>
                <w:bCs/>
                <w:sz w:val="24"/>
                <w:szCs w:val="24"/>
              </w:rPr>
              <w:t>4490mm(14'9')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exact"/>
          <w:jc w:val="center"/>
        </w:trPr>
        <w:tc>
          <w:tcPr>
            <w:tcW w:w="2837" w:type="dxa"/>
          </w:tcPr>
          <w:p>
            <w:pPr>
              <w:pStyle w:val="59"/>
              <w:spacing w:before="120" w:after="120" w:line="360" w:lineRule="auto"/>
              <w:rPr>
                <w:rFonts w:ascii="宋体"/>
                <w:b w:val="0"/>
                <w:bCs/>
                <w:sz w:val="24"/>
                <w:szCs w:val="24"/>
              </w:rPr>
            </w:pPr>
            <w:r>
              <w:rPr>
                <w:rFonts w:hint="eastAsia" w:ascii="宋体" w:hAnsi="宋体"/>
                <w:b w:val="0"/>
                <w:bCs/>
                <w:sz w:val="24"/>
                <w:szCs w:val="24"/>
              </w:rPr>
              <w:t>运输状态宽度</w:t>
            </w:r>
          </w:p>
        </w:tc>
        <w:tc>
          <w:tcPr>
            <w:tcW w:w="2835" w:type="dxa"/>
          </w:tcPr>
          <w:p>
            <w:pPr>
              <w:pStyle w:val="59"/>
              <w:spacing w:before="120" w:after="120" w:line="360" w:lineRule="auto"/>
              <w:rPr>
                <w:rFonts w:ascii="宋体"/>
                <w:b w:val="0"/>
                <w:bCs/>
                <w:sz w:val="24"/>
                <w:szCs w:val="24"/>
              </w:rPr>
            </w:pPr>
            <w:r>
              <w:rPr>
                <w:rFonts w:ascii="宋体" w:hAnsi="宋体"/>
                <w:b w:val="0"/>
                <w:bCs/>
                <w:sz w:val="24"/>
                <w:szCs w:val="24"/>
              </w:rPr>
              <w:t>3190mm(10'6')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Ex>
        <w:trPr>
          <w:trHeight w:val="567" w:hRule="exact"/>
          <w:jc w:val="center"/>
        </w:trPr>
        <w:tc>
          <w:tcPr>
            <w:tcW w:w="2837" w:type="dxa"/>
          </w:tcPr>
          <w:p>
            <w:pPr>
              <w:pStyle w:val="59"/>
              <w:spacing w:before="120" w:after="120" w:line="360" w:lineRule="auto"/>
              <w:rPr>
                <w:rFonts w:ascii="宋体"/>
                <w:b w:val="0"/>
                <w:bCs/>
                <w:sz w:val="24"/>
                <w:szCs w:val="24"/>
              </w:rPr>
            </w:pPr>
            <w:r>
              <w:rPr>
                <w:rFonts w:hint="eastAsia" w:ascii="宋体" w:hAnsi="宋体"/>
                <w:b w:val="0"/>
                <w:bCs/>
                <w:sz w:val="24"/>
                <w:szCs w:val="24"/>
              </w:rPr>
              <w:t>工作状态宽度</w:t>
            </w:r>
          </w:p>
        </w:tc>
        <w:tc>
          <w:tcPr>
            <w:tcW w:w="2835" w:type="dxa"/>
          </w:tcPr>
          <w:p>
            <w:pPr>
              <w:pStyle w:val="59"/>
              <w:spacing w:before="120" w:after="120" w:line="360" w:lineRule="auto"/>
              <w:rPr>
                <w:rFonts w:ascii="宋体"/>
                <w:b w:val="0"/>
                <w:bCs/>
                <w:sz w:val="24"/>
                <w:szCs w:val="24"/>
              </w:rPr>
            </w:pPr>
            <w:r>
              <w:rPr>
                <w:rFonts w:ascii="宋体" w:hAnsi="宋体"/>
                <w:b w:val="0"/>
                <w:bCs/>
                <w:sz w:val="24"/>
                <w:szCs w:val="24"/>
              </w:rPr>
              <w:t>21827mm(71'7')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exact"/>
          <w:jc w:val="center"/>
        </w:trPr>
        <w:tc>
          <w:tcPr>
            <w:tcW w:w="2837" w:type="dxa"/>
          </w:tcPr>
          <w:p>
            <w:pPr>
              <w:pStyle w:val="59"/>
              <w:spacing w:before="120" w:after="120" w:line="360" w:lineRule="auto"/>
              <w:rPr>
                <w:rFonts w:ascii="宋体"/>
                <w:b w:val="0"/>
                <w:bCs/>
                <w:sz w:val="24"/>
                <w:szCs w:val="24"/>
              </w:rPr>
            </w:pPr>
            <w:r>
              <w:rPr>
                <w:rFonts w:hint="eastAsia" w:ascii="宋体" w:hAnsi="宋体"/>
                <w:b w:val="0"/>
                <w:bCs/>
                <w:sz w:val="24"/>
                <w:szCs w:val="24"/>
              </w:rPr>
              <w:t>运输状态高度</w:t>
            </w:r>
          </w:p>
        </w:tc>
        <w:tc>
          <w:tcPr>
            <w:tcW w:w="2835" w:type="dxa"/>
          </w:tcPr>
          <w:p>
            <w:pPr>
              <w:pStyle w:val="59"/>
              <w:spacing w:before="120" w:after="120" w:line="360" w:lineRule="auto"/>
              <w:rPr>
                <w:rFonts w:ascii="宋体"/>
                <w:b w:val="0"/>
                <w:bCs/>
                <w:sz w:val="24"/>
                <w:szCs w:val="24"/>
              </w:rPr>
            </w:pPr>
            <w:r>
              <w:rPr>
                <w:rFonts w:ascii="宋体" w:hAnsi="宋体"/>
                <w:b w:val="0"/>
                <w:bCs/>
                <w:sz w:val="24"/>
                <w:szCs w:val="24"/>
              </w:rPr>
              <w:t>3520mm(11'7')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exact"/>
          <w:jc w:val="center"/>
        </w:trPr>
        <w:tc>
          <w:tcPr>
            <w:tcW w:w="2837" w:type="dxa"/>
          </w:tcPr>
          <w:p>
            <w:pPr>
              <w:pStyle w:val="59"/>
              <w:spacing w:before="120" w:after="120" w:line="360" w:lineRule="auto"/>
              <w:rPr>
                <w:rFonts w:ascii="宋体"/>
                <w:b w:val="0"/>
                <w:bCs/>
                <w:sz w:val="24"/>
                <w:szCs w:val="24"/>
              </w:rPr>
            </w:pPr>
            <w:r>
              <w:rPr>
                <w:rFonts w:hint="eastAsia" w:ascii="宋体" w:hAnsi="宋体"/>
                <w:b w:val="0"/>
                <w:bCs/>
                <w:sz w:val="24"/>
                <w:szCs w:val="24"/>
              </w:rPr>
              <w:t>运输状态长度</w:t>
            </w:r>
          </w:p>
        </w:tc>
        <w:tc>
          <w:tcPr>
            <w:tcW w:w="2835" w:type="dxa"/>
          </w:tcPr>
          <w:p>
            <w:pPr>
              <w:pStyle w:val="59"/>
              <w:spacing w:before="120" w:after="120" w:line="360" w:lineRule="auto"/>
              <w:rPr>
                <w:rFonts w:ascii="宋体"/>
                <w:b w:val="0"/>
                <w:bCs/>
                <w:sz w:val="24"/>
                <w:szCs w:val="24"/>
              </w:rPr>
            </w:pPr>
            <w:r>
              <w:rPr>
                <w:rFonts w:ascii="宋体" w:hAnsi="宋体"/>
                <w:b w:val="0"/>
                <w:bCs/>
                <w:sz w:val="24"/>
                <w:szCs w:val="24"/>
              </w:rPr>
              <w:t>15437mm(50'7')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exact"/>
          <w:jc w:val="center"/>
        </w:trPr>
        <w:tc>
          <w:tcPr>
            <w:tcW w:w="2837" w:type="dxa"/>
          </w:tcPr>
          <w:p>
            <w:pPr>
              <w:pStyle w:val="59"/>
              <w:spacing w:before="120" w:after="120" w:line="360" w:lineRule="auto"/>
              <w:rPr>
                <w:rFonts w:ascii="宋体"/>
                <w:b w:val="0"/>
                <w:bCs/>
                <w:sz w:val="24"/>
                <w:szCs w:val="24"/>
              </w:rPr>
            </w:pPr>
            <w:r>
              <w:rPr>
                <w:rFonts w:hint="eastAsia" w:ascii="宋体" w:hAnsi="宋体"/>
                <w:b w:val="0"/>
                <w:bCs/>
                <w:sz w:val="24"/>
                <w:szCs w:val="24"/>
              </w:rPr>
              <w:t>系统压力</w:t>
            </w:r>
          </w:p>
        </w:tc>
        <w:tc>
          <w:tcPr>
            <w:tcW w:w="2835" w:type="dxa"/>
          </w:tcPr>
          <w:p>
            <w:pPr>
              <w:pStyle w:val="59"/>
              <w:spacing w:before="120" w:after="120" w:line="360" w:lineRule="auto"/>
              <w:rPr>
                <w:rFonts w:ascii="宋体"/>
                <w:b w:val="0"/>
                <w:bCs/>
                <w:sz w:val="24"/>
                <w:szCs w:val="24"/>
              </w:rPr>
            </w:pPr>
            <w:r>
              <w:rPr>
                <w:rFonts w:ascii="宋体" w:hAnsi="宋体"/>
                <w:b w:val="0"/>
                <w:bCs/>
                <w:sz w:val="24"/>
                <w:szCs w:val="24"/>
              </w:rPr>
              <w:t>34.3MPa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exact"/>
          <w:jc w:val="center"/>
        </w:trPr>
        <w:tc>
          <w:tcPr>
            <w:tcW w:w="2837" w:type="dxa"/>
          </w:tcPr>
          <w:p>
            <w:pPr>
              <w:pStyle w:val="59"/>
              <w:spacing w:before="120" w:after="120" w:line="360" w:lineRule="auto"/>
              <w:rPr>
                <w:rFonts w:ascii="宋体"/>
                <w:b w:val="0"/>
                <w:bCs/>
                <w:sz w:val="24"/>
                <w:szCs w:val="24"/>
              </w:rPr>
            </w:pPr>
            <w:r>
              <w:rPr>
                <w:rFonts w:hint="eastAsia" w:ascii="宋体" w:hAnsi="宋体"/>
                <w:b w:val="0"/>
                <w:bCs/>
                <w:sz w:val="24"/>
                <w:szCs w:val="24"/>
              </w:rPr>
              <w:t>先导压力</w:t>
            </w:r>
          </w:p>
        </w:tc>
        <w:tc>
          <w:tcPr>
            <w:tcW w:w="2835" w:type="dxa"/>
          </w:tcPr>
          <w:p>
            <w:pPr>
              <w:pStyle w:val="59"/>
              <w:spacing w:before="120" w:after="120" w:line="360" w:lineRule="auto"/>
              <w:rPr>
                <w:rFonts w:ascii="宋体"/>
                <w:b w:val="0"/>
                <w:bCs/>
                <w:sz w:val="24"/>
                <w:szCs w:val="24"/>
              </w:rPr>
            </w:pPr>
            <w:r>
              <w:rPr>
                <w:rFonts w:ascii="宋体" w:hAnsi="宋体"/>
                <w:b w:val="0"/>
                <w:bCs/>
                <w:sz w:val="24"/>
                <w:szCs w:val="24"/>
              </w:rPr>
              <w:t>4MPa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exact"/>
          <w:jc w:val="center"/>
        </w:trPr>
        <w:tc>
          <w:tcPr>
            <w:tcW w:w="2837" w:type="dxa"/>
          </w:tcPr>
          <w:p>
            <w:pPr>
              <w:pStyle w:val="59"/>
              <w:spacing w:before="120" w:after="120" w:line="360" w:lineRule="auto"/>
              <w:rPr>
                <w:rFonts w:ascii="宋体"/>
                <w:b w:val="0"/>
                <w:bCs/>
                <w:sz w:val="24"/>
                <w:szCs w:val="24"/>
              </w:rPr>
            </w:pPr>
            <w:r>
              <w:rPr>
                <w:rFonts w:hint="eastAsia" w:ascii="宋体" w:hAnsi="宋体"/>
                <w:b w:val="0"/>
                <w:bCs/>
                <w:sz w:val="24"/>
                <w:szCs w:val="24"/>
              </w:rPr>
              <w:t>牵引力</w:t>
            </w:r>
          </w:p>
        </w:tc>
        <w:tc>
          <w:tcPr>
            <w:tcW w:w="2835" w:type="dxa"/>
          </w:tcPr>
          <w:p>
            <w:pPr>
              <w:pStyle w:val="59"/>
              <w:spacing w:before="120" w:after="120" w:line="360" w:lineRule="auto"/>
              <w:rPr>
                <w:rFonts w:ascii="宋体"/>
                <w:b w:val="0"/>
                <w:bCs/>
                <w:sz w:val="24"/>
                <w:szCs w:val="24"/>
              </w:rPr>
            </w:pPr>
            <w:r>
              <w:rPr>
                <w:rFonts w:ascii="宋体" w:hAnsi="宋体"/>
                <w:b w:val="0"/>
                <w:bCs/>
                <w:sz w:val="24"/>
                <w:szCs w:val="24"/>
              </w:rPr>
              <w:t>510kN(114653lbf)</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Ex>
        <w:trPr>
          <w:trHeight w:val="567" w:hRule="exact"/>
          <w:jc w:val="center"/>
        </w:trPr>
        <w:tc>
          <w:tcPr>
            <w:tcW w:w="2837" w:type="dxa"/>
          </w:tcPr>
          <w:p>
            <w:pPr>
              <w:pStyle w:val="59"/>
              <w:spacing w:before="120" w:after="120" w:line="360" w:lineRule="auto"/>
              <w:rPr>
                <w:rFonts w:ascii="宋体"/>
                <w:b w:val="0"/>
                <w:bCs/>
                <w:sz w:val="24"/>
                <w:szCs w:val="24"/>
              </w:rPr>
            </w:pPr>
            <w:r>
              <w:rPr>
                <w:rFonts w:hint="eastAsia" w:ascii="宋体" w:hAnsi="宋体"/>
                <w:b w:val="0"/>
                <w:bCs/>
                <w:sz w:val="24"/>
                <w:szCs w:val="24"/>
              </w:rPr>
              <w:t>最大总质量</w:t>
            </w:r>
          </w:p>
        </w:tc>
        <w:tc>
          <w:tcPr>
            <w:tcW w:w="2835" w:type="dxa"/>
          </w:tcPr>
          <w:p>
            <w:pPr>
              <w:pStyle w:val="59"/>
              <w:spacing w:before="120" w:after="120" w:line="360" w:lineRule="auto"/>
              <w:rPr>
                <w:rFonts w:ascii="宋体"/>
                <w:b w:val="0"/>
                <w:bCs/>
                <w:sz w:val="24"/>
                <w:szCs w:val="24"/>
              </w:rPr>
            </w:pPr>
            <w:r>
              <w:rPr>
                <w:rFonts w:ascii="宋体" w:hAnsi="宋体"/>
                <w:b w:val="0"/>
                <w:bCs/>
                <w:sz w:val="24"/>
                <w:szCs w:val="24"/>
              </w:rPr>
              <w:t>78t(77gross ton)</w:t>
            </w:r>
          </w:p>
        </w:tc>
      </w:tr>
    </w:tbl>
    <w:p>
      <w:pPr>
        <w:pStyle w:val="59"/>
        <w:spacing w:before="120" w:after="120" w:line="360" w:lineRule="auto"/>
        <w:jc w:val="left"/>
        <w:rPr>
          <w:rFonts w:ascii="宋体"/>
          <w:sz w:val="24"/>
          <w:szCs w:val="24"/>
        </w:rPr>
      </w:pPr>
    </w:p>
    <w:p>
      <w:pPr>
        <w:spacing w:line="360" w:lineRule="auto"/>
        <w:ind w:firstLine="482" w:firstLineChars="200"/>
        <w:outlineLvl w:val="2"/>
        <w:rPr>
          <w:rFonts w:ascii="宋体"/>
          <w:b/>
          <w:sz w:val="24"/>
        </w:rPr>
      </w:pPr>
      <w:bookmarkStart w:id="24" w:name="_Toc353351862"/>
      <w:r>
        <w:rPr>
          <w:rFonts w:ascii="宋体" w:hAnsi="宋体"/>
          <w:b/>
          <w:sz w:val="24"/>
        </w:rPr>
        <w:t>2.3.2</w:t>
      </w:r>
      <w:r>
        <w:rPr>
          <w:rFonts w:hint="eastAsia" w:ascii="宋体" w:hAnsi="宋体"/>
          <w:b/>
          <w:sz w:val="24"/>
        </w:rPr>
        <w:t>主要机械设备</w:t>
      </w:r>
      <w:bookmarkEnd w:id="24"/>
    </w:p>
    <w:p>
      <w:pPr>
        <w:pStyle w:val="59"/>
        <w:spacing w:before="120" w:after="120" w:line="360" w:lineRule="auto"/>
      </w:pPr>
      <w:r>
        <w:rPr>
          <w:rFonts w:hint="eastAsia"/>
        </w:rPr>
        <w:t>表</w:t>
      </w:r>
      <w:r>
        <w:t xml:space="preserve">2-3 </w:t>
      </w:r>
      <w:r>
        <w:rPr>
          <w:rFonts w:hint="eastAsia"/>
        </w:rPr>
        <w:t>主要机械设备情况表</w:t>
      </w:r>
    </w:p>
    <w:p>
      <w:pPr>
        <w:pStyle w:val="59"/>
        <w:spacing w:before="120" w:after="120" w:line="360" w:lineRule="auto"/>
      </w:pPr>
    </w:p>
    <w:tbl>
      <w:tblPr>
        <w:tblStyle w:val="29"/>
        <w:tblW w:w="8050" w:type="dxa"/>
        <w:jc w:val="center"/>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0"/>
        <w:gridCol w:w="1322"/>
        <w:gridCol w:w="1606"/>
        <w:gridCol w:w="717"/>
        <w:gridCol w:w="1251"/>
        <w:gridCol w:w="1366"/>
        <w:gridCol w:w="105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exact"/>
          <w:jc w:val="center"/>
        </w:trPr>
        <w:tc>
          <w:tcPr>
            <w:tcW w:w="730" w:type="dxa"/>
            <w:tcBorders>
              <w:top w:val="double" w:color="auto" w:sz="4" w:space="0"/>
            </w:tcBorders>
            <w:vAlign w:val="center"/>
          </w:tcPr>
          <w:p>
            <w:pPr>
              <w:spacing w:line="360" w:lineRule="auto"/>
              <w:jc w:val="center"/>
              <w:rPr>
                <w:sz w:val="18"/>
                <w:szCs w:val="18"/>
              </w:rPr>
            </w:pPr>
            <w:r>
              <w:rPr>
                <w:rFonts w:hint="eastAsia"/>
                <w:sz w:val="18"/>
                <w:szCs w:val="18"/>
              </w:rPr>
              <w:t>序号</w:t>
            </w:r>
          </w:p>
        </w:tc>
        <w:tc>
          <w:tcPr>
            <w:tcW w:w="1322" w:type="dxa"/>
            <w:tcBorders>
              <w:top w:val="double" w:color="auto" w:sz="4" w:space="0"/>
            </w:tcBorders>
            <w:vAlign w:val="center"/>
          </w:tcPr>
          <w:p>
            <w:pPr>
              <w:spacing w:line="360" w:lineRule="auto"/>
              <w:rPr>
                <w:sz w:val="18"/>
                <w:szCs w:val="18"/>
              </w:rPr>
            </w:pPr>
            <w:r>
              <w:rPr>
                <w:rFonts w:hint="eastAsia"/>
                <w:sz w:val="18"/>
                <w:szCs w:val="18"/>
              </w:rPr>
              <w:t>机械设备名称</w:t>
            </w:r>
          </w:p>
        </w:tc>
        <w:tc>
          <w:tcPr>
            <w:tcW w:w="1606" w:type="dxa"/>
            <w:tcBorders>
              <w:top w:val="double" w:color="auto" w:sz="4" w:space="0"/>
            </w:tcBorders>
            <w:vAlign w:val="center"/>
          </w:tcPr>
          <w:p>
            <w:pPr>
              <w:spacing w:line="360" w:lineRule="auto"/>
              <w:jc w:val="center"/>
              <w:rPr>
                <w:sz w:val="18"/>
                <w:szCs w:val="18"/>
              </w:rPr>
            </w:pPr>
            <w:r>
              <w:rPr>
                <w:rFonts w:hint="eastAsia"/>
                <w:sz w:val="18"/>
                <w:szCs w:val="18"/>
              </w:rPr>
              <w:t>规格及型号</w:t>
            </w:r>
          </w:p>
        </w:tc>
        <w:tc>
          <w:tcPr>
            <w:tcW w:w="717" w:type="dxa"/>
            <w:tcBorders>
              <w:top w:val="double" w:color="auto" w:sz="4" w:space="0"/>
            </w:tcBorders>
            <w:vAlign w:val="center"/>
          </w:tcPr>
          <w:p>
            <w:pPr>
              <w:spacing w:line="360" w:lineRule="auto"/>
              <w:jc w:val="center"/>
              <w:rPr>
                <w:sz w:val="18"/>
                <w:szCs w:val="18"/>
              </w:rPr>
            </w:pPr>
            <w:r>
              <w:rPr>
                <w:rFonts w:hint="eastAsia"/>
                <w:sz w:val="18"/>
                <w:szCs w:val="18"/>
              </w:rPr>
              <w:t>数量</w:t>
            </w:r>
          </w:p>
        </w:tc>
        <w:tc>
          <w:tcPr>
            <w:tcW w:w="1251" w:type="dxa"/>
            <w:tcBorders>
              <w:top w:val="double" w:color="auto" w:sz="4" w:space="0"/>
            </w:tcBorders>
            <w:vAlign w:val="center"/>
          </w:tcPr>
          <w:p>
            <w:pPr>
              <w:spacing w:line="360" w:lineRule="auto"/>
              <w:jc w:val="center"/>
              <w:rPr>
                <w:sz w:val="18"/>
                <w:szCs w:val="18"/>
              </w:rPr>
            </w:pPr>
            <w:r>
              <w:rPr>
                <w:rFonts w:hint="eastAsia"/>
                <w:sz w:val="18"/>
                <w:szCs w:val="18"/>
              </w:rPr>
              <w:t>技术状况</w:t>
            </w:r>
          </w:p>
        </w:tc>
        <w:tc>
          <w:tcPr>
            <w:tcW w:w="1366" w:type="dxa"/>
            <w:tcBorders>
              <w:top w:val="double" w:color="auto" w:sz="4" w:space="0"/>
            </w:tcBorders>
            <w:vAlign w:val="center"/>
          </w:tcPr>
          <w:p>
            <w:pPr>
              <w:spacing w:line="360" w:lineRule="auto"/>
              <w:jc w:val="center"/>
              <w:rPr>
                <w:sz w:val="18"/>
                <w:szCs w:val="18"/>
              </w:rPr>
            </w:pPr>
            <w:r>
              <w:rPr>
                <w:rFonts w:hint="eastAsia"/>
                <w:sz w:val="18"/>
                <w:szCs w:val="18"/>
              </w:rPr>
              <w:t>进场日期</w:t>
            </w:r>
          </w:p>
        </w:tc>
        <w:tc>
          <w:tcPr>
            <w:tcW w:w="1058" w:type="dxa"/>
            <w:tcBorders>
              <w:top w:val="double" w:color="auto" w:sz="4" w:space="0"/>
            </w:tcBorders>
            <w:vAlign w:val="center"/>
          </w:tcPr>
          <w:p>
            <w:pPr>
              <w:spacing w:line="360" w:lineRule="auto"/>
              <w:jc w:val="center"/>
              <w:rPr>
                <w:sz w:val="18"/>
                <w:szCs w:val="18"/>
              </w:rPr>
            </w:pPr>
            <w:r>
              <w:rPr>
                <w:rFonts w:hint="eastAsia"/>
                <w:sz w:val="18"/>
                <w:szCs w:val="18"/>
              </w:rPr>
              <w:t>备注</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exact"/>
          <w:jc w:val="center"/>
        </w:trPr>
        <w:tc>
          <w:tcPr>
            <w:tcW w:w="730" w:type="dxa"/>
            <w:vAlign w:val="center"/>
          </w:tcPr>
          <w:p>
            <w:pPr>
              <w:spacing w:line="360" w:lineRule="auto"/>
              <w:jc w:val="center"/>
              <w:rPr>
                <w:sz w:val="18"/>
                <w:szCs w:val="18"/>
              </w:rPr>
            </w:pPr>
            <w:r>
              <w:rPr>
                <w:sz w:val="18"/>
                <w:szCs w:val="18"/>
              </w:rPr>
              <w:t>1</w:t>
            </w:r>
          </w:p>
        </w:tc>
        <w:tc>
          <w:tcPr>
            <w:tcW w:w="1322" w:type="dxa"/>
            <w:vAlign w:val="center"/>
          </w:tcPr>
          <w:p>
            <w:pPr>
              <w:spacing w:line="360" w:lineRule="auto"/>
              <w:jc w:val="center"/>
              <w:rPr>
                <w:sz w:val="18"/>
                <w:szCs w:val="18"/>
              </w:rPr>
            </w:pPr>
            <w:r>
              <w:rPr>
                <w:rFonts w:hint="eastAsia"/>
                <w:sz w:val="18"/>
                <w:szCs w:val="18"/>
              </w:rPr>
              <w:t>混凝土运输车</w:t>
            </w:r>
          </w:p>
        </w:tc>
        <w:tc>
          <w:tcPr>
            <w:tcW w:w="1606" w:type="dxa"/>
            <w:vAlign w:val="center"/>
          </w:tcPr>
          <w:p>
            <w:pPr>
              <w:spacing w:line="360" w:lineRule="auto"/>
              <w:jc w:val="center"/>
              <w:rPr>
                <w:sz w:val="18"/>
                <w:szCs w:val="18"/>
              </w:rPr>
            </w:pPr>
            <w:r>
              <w:rPr>
                <w:sz w:val="18"/>
                <w:szCs w:val="18"/>
              </w:rPr>
              <w:t>8</w:t>
            </w:r>
            <w:r>
              <w:rPr>
                <w:rFonts w:hint="eastAsia"/>
                <w:sz w:val="18"/>
                <w:szCs w:val="18"/>
                <w:lang w:val="en-US" w:eastAsia="zh-CN"/>
              </w:rPr>
              <w:t>/10</w:t>
            </w:r>
            <w:r>
              <w:rPr>
                <w:sz w:val="18"/>
                <w:szCs w:val="18"/>
              </w:rPr>
              <w:t>m</w:t>
            </w:r>
            <w:r>
              <w:rPr>
                <w:sz w:val="18"/>
                <w:szCs w:val="18"/>
                <w:vertAlign w:val="superscript"/>
              </w:rPr>
              <w:t>3</w:t>
            </w:r>
          </w:p>
        </w:tc>
        <w:tc>
          <w:tcPr>
            <w:tcW w:w="717" w:type="dxa"/>
            <w:vAlign w:val="center"/>
          </w:tcPr>
          <w:p>
            <w:pPr>
              <w:widowControl/>
              <w:spacing w:line="360" w:lineRule="auto"/>
              <w:jc w:val="center"/>
              <w:rPr>
                <w:sz w:val="18"/>
                <w:szCs w:val="18"/>
              </w:rPr>
            </w:pPr>
            <w:r>
              <w:rPr>
                <w:sz w:val="18"/>
                <w:szCs w:val="18"/>
              </w:rPr>
              <w:t>8</w:t>
            </w:r>
          </w:p>
        </w:tc>
        <w:tc>
          <w:tcPr>
            <w:tcW w:w="1251" w:type="dxa"/>
            <w:vAlign w:val="center"/>
          </w:tcPr>
          <w:p>
            <w:pPr>
              <w:spacing w:line="360" w:lineRule="auto"/>
              <w:jc w:val="center"/>
              <w:rPr>
                <w:sz w:val="18"/>
                <w:szCs w:val="18"/>
              </w:rPr>
            </w:pPr>
            <w:r>
              <w:rPr>
                <w:rFonts w:hint="eastAsia"/>
                <w:sz w:val="18"/>
                <w:szCs w:val="18"/>
              </w:rPr>
              <w:t>良好</w:t>
            </w:r>
          </w:p>
        </w:tc>
        <w:tc>
          <w:tcPr>
            <w:tcW w:w="1366" w:type="dxa"/>
            <w:vAlign w:val="center"/>
          </w:tcPr>
          <w:p>
            <w:pPr>
              <w:spacing w:line="360" w:lineRule="auto"/>
              <w:jc w:val="center"/>
              <w:rPr>
                <w:sz w:val="18"/>
                <w:szCs w:val="18"/>
              </w:rPr>
            </w:pPr>
            <w:r>
              <w:rPr>
                <w:rFonts w:hint="eastAsia"/>
                <w:sz w:val="18"/>
                <w:szCs w:val="18"/>
              </w:rPr>
              <w:t>已进场</w:t>
            </w:r>
          </w:p>
        </w:tc>
        <w:tc>
          <w:tcPr>
            <w:tcW w:w="1058" w:type="dxa"/>
            <w:vAlign w:val="center"/>
          </w:tcPr>
          <w:p>
            <w:pPr>
              <w:spacing w:line="360" w:lineRule="auto"/>
              <w:jc w:val="center"/>
              <w:rPr>
                <w:sz w:val="18"/>
                <w:szCs w:val="18"/>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exact"/>
          <w:jc w:val="center"/>
        </w:trPr>
        <w:tc>
          <w:tcPr>
            <w:tcW w:w="730" w:type="dxa"/>
            <w:vAlign w:val="center"/>
          </w:tcPr>
          <w:p>
            <w:pPr>
              <w:spacing w:line="360" w:lineRule="auto"/>
              <w:jc w:val="center"/>
              <w:rPr>
                <w:sz w:val="18"/>
                <w:szCs w:val="18"/>
              </w:rPr>
            </w:pPr>
            <w:r>
              <w:rPr>
                <w:rFonts w:hint="eastAsia"/>
                <w:sz w:val="18"/>
                <w:szCs w:val="18"/>
              </w:rPr>
              <w:t>2</w:t>
            </w:r>
          </w:p>
        </w:tc>
        <w:tc>
          <w:tcPr>
            <w:tcW w:w="1322" w:type="dxa"/>
            <w:vAlign w:val="center"/>
          </w:tcPr>
          <w:p>
            <w:pPr>
              <w:spacing w:line="360" w:lineRule="auto"/>
              <w:jc w:val="center"/>
              <w:rPr>
                <w:sz w:val="18"/>
                <w:szCs w:val="18"/>
              </w:rPr>
            </w:pPr>
            <w:r>
              <w:rPr>
                <w:rFonts w:hint="eastAsia"/>
                <w:sz w:val="18"/>
                <w:szCs w:val="18"/>
              </w:rPr>
              <w:t>汽车起重机</w:t>
            </w:r>
          </w:p>
        </w:tc>
        <w:tc>
          <w:tcPr>
            <w:tcW w:w="1606" w:type="dxa"/>
            <w:vAlign w:val="center"/>
          </w:tcPr>
          <w:p>
            <w:pPr>
              <w:spacing w:line="360" w:lineRule="auto"/>
              <w:jc w:val="center"/>
              <w:rPr>
                <w:sz w:val="18"/>
                <w:szCs w:val="18"/>
              </w:rPr>
            </w:pPr>
            <w:r>
              <w:rPr>
                <w:sz w:val="18"/>
                <w:szCs w:val="18"/>
              </w:rPr>
              <w:t>QY25K-I</w:t>
            </w:r>
          </w:p>
        </w:tc>
        <w:tc>
          <w:tcPr>
            <w:tcW w:w="717" w:type="dxa"/>
            <w:vAlign w:val="center"/>
          </w:tcPr>
          <w:p>
            <w:pPr>
              <w:spacing w:line="360" w:lineRule="auto"/>
              <w:jc w:val="center"/>
              <w:rPr>
                <w:sz w:val="18"/>
                <w:szCs w:val="18"/>
              </w:rPr>
            </w:pPr>
            <w:r>
              <w:rPr>
                <w:sz w:val="18"/>
                <w:szCs w:val="18"/>
              </w:rPr>
              <w:t>11</w:t>
            </w:r>
          </w:p>
        </w:tc>
        <w:tc>
          <w:tcPr>
            <w:tcW w:w="1251" w:type="dxa"/>
            <w:vAlign w:val="center"/>
          </w:tcPr>
          <w:p>
            <w:pPr>
              <w:spacing w:line="360" w:lineRule="auto"/>
              <w:jc w:val="center"/>
              <w:rPr>
                <w:sz w:val="18"/>
                <w:szCs w:val="18"/>
              </w:rPr>
            </w:pPr>
            <w:r>
              <w:rPr>
                <w:rFonts w:hint="eastAsia"/>
                <w:sz w:val="18"/>
                <w:szCs w:val="18"/>
              </w:rPr>
              <w:t>良好</w:t>
            </w:r>
          </w:p>
        </w:tc>
        <w:tc>
          <w:tcPr>
            <w:tcW w:w="1366" w:type="dxa"/>
            <w:vAlign w:val="center"/>
          </w:tcPr>
          <w:p>
            <w:pPr>
              <w:spacing w:line="360" w:lineRule="auto"/>
              <w:jc w:val="center"/>
              <w:rPr>
                <w:sz w:val="18"/>
                <w:szCs w:val="18"/>
              </w:rPr>
            </w:pPr>
            <w:r>
              <w:rPr>
                <w:rFonts w:hint="eastAsia"/>
                <w:sz w:val="18"/>
                <w:szCs w:val="18"/>
              </w:rPr>
              <w:t>已进场</w:t>
            </w:r>
          </w:p>
        </w:tc>
        <w:tc>
          <w:tcPr>
            <w:tcW w:w="1058" w:type="dxa"/>
            <w:vAlign w:val="center"/>
          </w:tcPr>
          <w:p>
            <w:pPr>
              <w:pStyle w:val="50"/>
              <w:adjustRightInd/>
              <w:snapToGrid/>
              <w:spacing w:line="360" w:lineRule="auto"/>
              <w:rPr>
                <w:rFonts w:ascii="Times New Roman" w:hAnsi="Times New Roman"/>
                <w:color w:val="auto"/>
                <w:spacing w:val="0"/>
                <w:sz w:val="18"/>
                <w:szCs w:val="18"/>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exact"/>
          <w:jc w:val="center"/>
        </w:trPr>
        <w:tc>
          <w:tcPr>
            <w:tcW w:w="730" w:type="dxa"/>
            <w:vAlign w:val="center"/>
          </w:tcPr>
          <w:p>
            <w:pPr>
              <w:spacing w:line="360" w:lineRule="auto"/>
              <w:jc w:val="center"/>
              <w:rPr>
                <w:sz w:val="18"/>
                <w:szCs w:val="18"/>
              </w:rPr>
            </w:pPr>
            <w:r>
              <w:rPr>
                <w:rFonts w:hint="eastAsia"/>
                <w:sz w:val="18"/>
                <w:szCs w:val="18"/>
              </w:rPr>
              <w:t>3</w:t>
            </w:r>
          </w:p>
        </w:tc>
        <w:tc>
          <w:tcPr>
            <w:tcW w:w="1322" w:type="dxa"/>
            <w:vAlign w:val="center"/>
          </w:tcPr>
          <w:p>
            <w:pPr>
              <w:spacing w:line="360" w:lineRule="auto"/>
              <w:jc w:val="center"/>
              <w:rPr>
                <w:sz w:val="18"/>
                <w:szCs w:val="18"/>
              </w:rPr>
            </w:pPr>
            <w:r>
              <w:rPr>
                <w:sz w:val="18"/>
                <w:szCs w:val="18"/>
              </w:rPr>
              <w:t>25T</w:t>
            </w:r>
            <w:r>
              <w:rPr>
                <w:rFonts w:hint="eastAsia"/>
                <w:sz w:val="18"/>
                <w:szCs w:val="18"/>
              </w:rPr>
              <w:t>半挂车</w:t>
            </w:r>
          </w:p>
        </w:tc>
        <w:tc>
          <w:tcPr>
            <w:tcW w:w="1606" w:type="dxa"/>
            <w:vAlign w:val="center"/>
          </w:tcPr>
          <w:p>
            <w:pPr>
              <w:spacing w:line="360" w:lineRule="auto"/>
              <w:jc w:val="center"/>
              <w:rPr>
                <w:sz w:val="18"/>
                <w:szCs w:val="18"/>
              </w:rPr>
            </w:pPr>
            <w:r>
              <w:rPr>
                <w:sz w:val="18"/>
                <w:szCs w:val="18"/>
              </w:rPr>
              <w:t>25T</w:t>
            </w:r>
          </w:p>
        </w:tc>
        <w:tc>
          <w:tcPr>
            <w:tcW w:w="717" w:type="dxa"/>
            <w:vAlign w:val="center"/>
          </w:tcPr>
          <w:p>
            <w:pPr>
              <w:spacing w:line="360" w:lineRule="auto"/>
              <w:jc w:val="center"/>
              <w:rPr>
                <w:rFonts w:hint="eastAsia" w:eastAsia="宋体"/>
                <w:sz w:val="18"/>
                <w:szCs w:val="18"/>
                <w:lang w:eastAsia="zh-CN"/>
              </w:rPr>
            </w:pPr>
            <w:r>
              <w:rPr>
                <w:rFonts w:hint="eastAsia"/>
                <w:sz w:val="18"/>
                <w:szCs w:val="18"/>
                <w:lang w:val="en-US" w:eastAsia="zh-CN"/>
              </w:rPr>
              <w:t>6</w:t>
            </w:r>
          </w:p>
        </w:tc>
        <w:tc>
          <w:tcPr>
            <w:tcW w:w="1251" w:type="dxa"/>
            <w:vAlign w:val="center"/>
          </w:tcPr>
          <w:p>
            <w:pPr>
              <w:spacing w:line="360" w:lineRule="auto"/>
              <w:jc w:val="center"/>
              <w:rPr>
                <w:sz w:val="18"/>
                <w:szCs w:val="18"/>
              </w:rPr>
            </w:pPr>
            <w:r>
              <w:rPr>
                <w:rFonts w:hint="eastAsia"/>
                <w:sz w:val="18"/>
                <w:szCs w:val="18"/>
              </w:rPr>
              <w:t>良好</w:t>
            </w:r>
          </w:p>
        </w:tc>
        <w:tc>
          <w:tcPr>
            <w:tcW w:w="1366" w:type="dxa"/>
            <w:vAlign w:val="center"/>
          </w:tcPr>
          <w:p>
            <w:pPr>
              <w:spacing w:line="360" w:lineRule="auto"/>
              <w:jc w:val="center"/>
              <w:rPr>
                <w:sz w:val="18"/>
                <w:szCs w:val="18"/>
              </w:rPr>
            </w:pPr>
            <w:r>
              <w:rPr>
                <w:rFonts w:hint="eastAsia"/>
                <w:sz w:val="18"/>
                <w:szCs w:val="18"/>
              </w:rPr>
              <w:t>已进场</w:t>
            </w:r>
          </w:p>
        </w:tc>
        <w:tc>
          <w:tcPr>
            <w:tcW w:w="1058" w:type="dxa"/>
            <w:vAlign w:val="center"/>
          </w:tcPr>
          <w:p>
            <w:pPr>
              <w:pStyle w:val="50"/>
              <w:adjustRightInd/>
              <w:snapToGrid/>
              <w:spacing w:line="360" w:lineRule="auto"/>
              <w:rPr>
                <w:rFonts w:ascii="Times New Roman" w:hAnsi="Times New Roman"/>
                <w:color w:val="auto"/>
                <w:spacing w:val="0"/>
                <w:sz w:val="18"/>
                <w:szCs w:val="18"/>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exact"/>
          <w:jc w:val="center"/>
        </w:trPr>
        <w:tc>
          <w:tcPr>
            <w:tcW w:w="730" w:type="dxa"/>
            <w:vAlign w:val="center"/>
          </w:tcPr>
          <w:p>
            <w:pPr>
              <w:spacing w:line="360" w:lineRule="auto"/>
              <w:jc w:val="center"/>
              <w:rPr>
                <w:sz w:val="18"/>
                <w:szCs w:val="18"/>
              </w:rPr>
            </w:pPr>
            <w:r>
              <w:rPr>
                <w:rFonts w:hint="eastAsia"/>
                <w:sz w:val="18"/>
                <w:szCs w:val="18"/>
              </w:rPr>
              <w:t>4</w:t>
            </w:r>
          </w:p>
        </w:tc>
        <w:tc>
          <w:tcPr>
            <w:tcW w:w="1322" w:type="dxa"/>
            <w:vAlign w:val="center"/>
          </w:tcPr>
          <w:p>
            <w:pPr>
              <w:spacing w:line="360" w:lineRule="auto"/>
              <w:jc w:val="center"/>
              <w:rPr>
                <w:sz w:val="18"/>
                <w:szCs w:val="18"/>
              </w:rPr>
            </w:pPr>
            <w:r>
              <w:rPr>
                <w:rFonts w:hint="eastAsia"/>
                <w:sz w:val="18"/>
                <w:szCs w:val="18"/>
              </w:rPr>
              <w:t>高精度全站仪</w:t>
            </w:r>
          </w:p>
        </w:tc>
        <w:tc>
          <w:tcPr>
            <w:tcW w:w="1606" w:type="dxa"/>
            <w:vAlign w:val="center"/>
          </w:tcPr>
          <w:p>
            <w:pPr>
              <w:spacing w:line="360" w:lineRule="auto"/>
              <w:jc w:val="center"/>
              <w:rPr>
                <w:sz w:val="18"/>
                <w:szCs w:val="18"/>
              </w:rPr>
            </w:pPr>
            <w:r>
              <w:rPr>
                <w:sz w:val="18"/>
                <w:szCs w:val="18"/>
              </w:rPr>
              <w:t>Leica TCA 2003</w:t>
            </w:r>
          </w:p>
        </w:tc>
        <w:tc>
          <w:tcPr>
            <w:tcW w:w="717" w:type="dxa"/>
            <w:vAlign w:val="center"/>
          </w:tcPr>
          <w:p>
            <w:pPr>
              <w:spacing w:line="360" w:lineRule="auto"/>
              <w:jc w:val="center"/>
              <w:rPr>
                <w:sz w:val="18"/>
                <w:szCs w:val="18"/>
              </w:rPr>
            </w:pPr>
            <w:r>
              <w:rPr>
                <w:sz w:val="18"/>
                <w:szCs w:val="18"/>
              </w:rPr>
              <w:t>1</w:t>
            </w:r>
          </w:p>
        </w:tc>
        <w:tc>
          <w:tcPr>
            <w:tcW w:w="1251" w:type="dxa"/>
            <w:vAlign w:val="center"/>
          </w:tcPr>
          <w:p>
            <w:pPr>
              <w:spacing w:line="360" w:lineRule="auto"/>
              <w:jc w:val="center"/>
              <w:rPr>
                <w:sz w:val="18"/>
                <w:szCs w:val="18"/>
              </w:rPr>
            </w:pPr>
            <w:r>
              <w:rPr>
                <w:rFonts w:hint="eastAsia"/>
                <w:sz w:val="18"/>
                <w:szCs w:val="18"/>
              </w:rPr>
              <w:t>良好</w:t>
            </w:r>
          </w:p>
        </w:tc>
        <w:tc>
          <w:tcPr>
            <w:tcW w:w="1366" w:type="dxa"/>
            <w:vAlign w:val="center"/>
          </w:tcPr>
          <w:p>
            <w:pPr>
              <w:spacing w:line="360" w:lineRule="auto"/>
              <w:jc w:val="center"/>
              <w:rPr>
                <w:sz w:val="18"/>
                <w:szCs w:val="18"/>
              </w:rPr>
            </w:pPr>
            <w:r>
              <w:rPr>
                <w:rFonts w:hint="eastAsia"/>
                <w:sz w:val="18"/>
                <w:szCs w:val="18"/>
              </w:rPr>
              <w:t>已进场</w:t>
            </w:r>
          </w:p>
        </w:tc>
        <w:tc>
          <w:tcPr>
            <w:tcW w:w="1058" w:type="dxa"/>
            <w:vAlign w:val="center"/>
          </w:tcPr>
          <w:p>
            <w:pPr>
              <w:widowControl/>
              <w:spacing w:line="360" w:lineRule="auto"/>
              <w:jc w:val="center"/>
              <w:rPr>
                <w:sz w:val="18"/>
                <w:szCs w:val="18"/>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PrEx>
        <w:trPr>
          <w:trHeight w:val="340" w:hRule="exact"/>
          <w:jc w:val="center"/>
        </w:trPr>
        <w:tc>
          <w:tcPr>
            <w:tcW w:w="730" w:type="dxa"/>
            <w:vAlign w:val="center"/>
          </w:tcPr>
          <w:p>
            <w:pPr>
              <w:spacing w:line="360" w:lineRule="auto"/>
              <w:jc w:val="center"/>
              <w:rPr>
                <w:sz w:val="18"/>
                <w:szCs w:val="18"/>
              </w:rPr>
            </w:pPr>
            <w:r>
              <w:rPr>
                <w:rFonts w:hint="eastAsia"/>
                <w:sz w:val="18"/>
                <w:szCs w:val="18"/>
              </w:rPr>
              <w:t>5</w:t>
            </w:r>
          </w:p>
        </w:tc>
        <w:tc>
          <w:tcPr>
            <w:tcW w:w="1322" w:type="dxa"/>
            <w:vAlign w:val="center"/>
          </w:tcPr>
          <w:p>
            <w:pPr>
              <w:spacing w:line="360" w:lineRule="auto"/>
              <w:jc w:val="center"/>
              <w:rPr>
                <w:sz w:val="18"/>
                <w:szCs w:val="18"/>
              </w:rPr>
            </w:pPr>
            <w:r>
              <w:rPr>
                <w:rFonts w:hint="eastAsia"/>
                <w:sz w:val="18"/>
                <w:szCs w:val="18"/>
              </w:rPr>
              <w:t>普通水平仪</w:t>
            </w:r>
          </w:p>
        </w:tc>
        <w:tc>
          <w:tcPr>
            <w:tcW w:w="1606" w:type="dxa"/>
            <w:vAlign w:val="center"/>
          </w:tcPr>
          <w:p>
            <w:pPr>
              <w:spacing w:line="360" w:lineRule="auto"/>
              <w:jc w:val="center"/>
              <w:rPr>
                <w:sz w:val="18"/>
                <w:szCs w:val="18"/>
              </w:rPr>
            </w:pPr>
            <w:r>
              <w:rPr>
                <w:sz w:val="18"/>
                <w:szCs w:val="18"/>
              </w:rPr>
              <w:t>Leica  NA</w:t>
            </w:r>
          </w:p>
        </w:tc>
        <w:tc>
          <w:tcPr>
            <w:tcW w:w="717" w:type="dxa"/>
            <w:vAlign w:val="center"/>
          </w:tcPr>
          <w:p>
            <w:pPr>
              <w:spacing w:line="360" w:lineRule="auto"/>
              <w:jc w:val="center"/>
              <w:rPr>
                <w:sz w:val="18"/>
                <w:szCs w:val="18"/>
              </w:rPr>
            </w:pPr>
            <w:r>
              <w:rPr>
                <w:sz w:val="18"/>
                <w:szCs w:val="18"/>
              </w:rPr>
              <w:t>1</w:t>
            </w:r>
          </w:p>
        </w:tc>
        <w:tc>
          <w:tcPr>
            <w:tcW w:w="1251" w:type="dxa"/>
            <w:vAlign w:val="center"/>
          </w:tcPr>
          <w:p>
            <w:pPr>
              <w:spacing w:line="360" w:lineRule="auto"/>
              <w:jc w:val="center"/>
              <w:rPr>
                <w:sz w:val="18"/>
                <w:szCs w:val="18"/>
              </w:rPr>
            </w:pPr>
            <w:r>
              <w:rPr>
                <w:rFonts w:hint="eastAsia"/>
                <w:sz w:val="18"/>
                <w:szCs w:val="18"/>
              </w:rPr>
              <w:t>良好</w:t>
            </w:r>
          </w:p>
        </w:tc>
        <w:tc>
          <w:tcPr>
            <w:tcW w:w="1366" w:type="dxa"/>
            <w:vAlign w:val="center"/>
          </w:tcPr>
          <w:p>
            <w:pPr>
              <w:spacing w:line="360" w:lineRule="auto"/>
              <w:jc w:val="center"/>
              <w:rPr>
                <w:sz w:val="18"/>
                <w:szCs w:val="18"/>
              </w:rPr>
            </w:pPr>
            <w:r>
              <w:rPr>
                <w:rFonts w:hint="eastAsia"/>
                <w:sz w:val="18"/>
                <w:szCs w:val="18"/>
              </w:rPr>
              <w:t>已进场</w:t>
            </w:r>
          </w:p>
        </w:tc>
        <w:tc>
          <w:tcPr>
            <w:tcW w:w="1058" w:type="dxa"/>
            <w:vAlign w:val="center"/>
          </w:tcPr>
          <w:p>
            <w:pPr>
              <w:widowControl/>
              <w:spacing w:line="360" w:lineRule="auto"/>
              <w:jc w:val="center"/>
              <w:rPr>
                <w:sz w:val="18"/>
                <w:szCs w:val="18"/>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exact"/>
          <w:jc w:val="center"/>
        </w:trPr>
        <w:tc>
          <w:tcPr>
            <w:tcW w:w="730" w:type="dxa"/>
            <w:vAlign w:val="center"/>
          </w:tcPr>
          <w:p>
            <w:pPr>
              <w:spacing w:line="360" w:lineRule="auto"/>
              <w:jc w:val="center"/>
              <w:rPr>
                <w:sz w:val="18"/>
                <w:szCs w:val="18"/>
              </w:rPr>
            </w:pPr>
            <w:r>
              <w:rPr>
                <w:rFonts w:hint="eastAsia"/>
                <w:sz w:val="18"/>
                <w:szCs w:val="18"/>
              </w:rPr>
              <w:t>6</w:t>
            </w:r>
          </w:p>
        </w:tc>
        <w:tc>
          <w:tcPr>
            <w:tcW w:w="1322" w:type="dxa"/>
            <w:vAlign w:val="center"/>
          </w:tcPr>
          <w:p>
            <w:pPr>
              <w:spacing w:line="360" w:lineRule="auto"/>
              <w:jc w:val="center"/>
              <w:rPr>
                <w:sz w:val="18"/>
                <w:szCs w:val="18"/>
              </w:rPr>
            </w:pPr>
            <w:r>
              <w:rPr>
                <w:rFonts w:hint="eastAsia"/>
                <w:sz w:val="18"/>
                <w:szCs w:val="18"/>
              </w:rPr>
              <w:t>泥浆泵</w:t>
            </w:r>
          </w:p>
        </w:tc>
        <w:tc>
          <w:tcPr>
            <w:tcW w:w="1606" w:type="dxa"/>
            <w:vAlign w:val="center"/>
          </w:tcPr>
          <w:p>
            <w:pPr>
              <w:spacing w:line="360" w:lineRule="auto"/>
              <w:jc w:val="center"/>
              <w:rPr>
                <w:sz w:val="18"/>
                <w:szCs w:val="18"/>
              </w:rPr>
            </w:pPr>
            <w:r>
              <w:rPr>
                <w:sz w:val="18"/>
                <w:szCs w:val="18"/>
              </w:rPr>
              <w:t>3PNL</w:t>
            </w:r>
          </w:p>
        </w:tc>
        <w:tc>
          <w:tcPr>
            <w:tcW w:w="717" w:type="dxa"/>
            <w:vAlign w:val="center"/>
          </w:tcPr>
          <w:p>
            <w:pPr>
              <w:spacing w:line="360" w:lineRule="auto"/>
              <w:jc w:val="center"/>
              <w:rPr>
                <w:sz w:val="18"/>
                <w:szCs w:val="18"/>
              </w:rPr>
            </w:pPr>
            <w:r>
              <w:rPr>
                <w:sz w:val="18"/>
                <w:szCs w:val="18"/>
              </w:rPr>
              <w:t>6</w:t>
            </w:r>
          </w:p>
        </w:tc>
        <w:tc>
          <w:tcPr>
            <w:tcW w:w="1251" w:type="dxa"/>
            <w:vAlign w:val="center"/>
          </w:tcPr>
          <w:p>
            <w:pPr>
              <w:spacing w:line="360" w:lineRule="auto"/>
              <w:jc w:val="center"/>
              <w:rPr>
                <w:sz w:val="18"/>
                <w:szCs w:val="18"/>
              </w:rPr>
            </w:pPr>
            <w:r>
              <w:rPr>
                <w:rFonts w:hint="eastAsia"/>
                <w:sz w:val="18"/>
                <w:szCs w:val="18"/>
              </w:rPr>
              <w:t>良好</w:t>
            </w:r>
          </w:p>
        </w:tc>
        <w:tc>
          <w:tcPr>
            <w:tcW w:w="1366" w:type="dxa"/>
            <w:vAlign w:val="center"/>
          </w:tcPr>
          <w:p>
            <w:pPr>
              <w:spacing w:line="360" w:lineRule="auto"/>
              <w:jc w:val="center"/>
              <w:rPr>
                <w:sz w:val="18"/>
                <w:szCs w:val="18"/>
              </w:rPr>
            </w:pPr>
            <w:r>
              <w:rPr>
                <w:rFonts w:hint="eastAsia"/>
                <w:sz w:val="18"/>
                <w:szCs w:val="18"/>
              </w:rPr>
              <w:t>已进场</w:t>
            </w:r>
          </w:p>
        </w:tc>
        <w:tc>
          <w:tcPr>
            <w:tcW w:w="1058" w:type="dxa"/>
            <w:vAlign w:val="center"/>
          </w:tcPr>
          <w:p>
            <w:pPr>
              <w:spacing w:line="360" w:lineRule="auto"/>
              <w:jc w:val="center"/>
              <w:rPr>
                <w:sz w:val="18"/>
                <w:szCs w:val="18"/>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exact"/>
          <w:jc w:val="center"/>
        </w:trPr>
        <w:tc>
          <w:tcPr>
            <w:tcW w:w="730" w:type="dxa"/>
            <w:tcBorders>
              <w:bottom w:val="double" w:color="auto" w:sz="4" w:space="0"/>
            </w:tcBorders>
            <w:vAlign w:val="center"/>
          </w:tcPr>
          <w:p>
            <w:pPr>
              <w:spacing w:line="360" w:lineRule="auto"/>
              <w:jc w:val="center"/>
              <w:rPr>
                <w:sz w:val="18"/>
                <w:szCs w:val="18"/>
              </w:rPr>
            </w:pPr>
            <w:r>
              <w:rPr>
                <w:rFonts w:hint="eastAsia"/>
                <w:sz w:val="18"/>
                <w:szCs w:val="18"/>
              </w:rPr>
              <w:t>7</w:t>
            </w:r>
          </w:p>
        </w:tc>
        <w:tc>
          <w:tcPr>
            <w:tcW w:w="1322" w:type="dxa"/>
            <w:tcBorders>
              <w:bottom w:val="double" w:color="auto" w:sz="4" w:space="0"/>
            </w:tcBorders>
            <w:vAlign w:val="center"/>
          </w:tcPr>
          <w:p>
            <w:pPr>
              <w:spacing w:line="360" w:lineRule="auto"/>
              <w:jc w:val="center"/>
              <w:rPr>
                <w:sz w:val="18"/>
                <w:szCs w:val="18"/>
              </w:rPr>
            </w:pPr>
            <w:r>
              <w:rPr>
                <w:rFonts w:hint="eastAsia"/>
                <w:sz w:val="18"/>
                <w:szCs w:val="18"/>
              </w:rPr>
              <w:t>配电柜</w:t>
            </w:r>
          </w:p>
        </w:tc>
        <w:tc>
          <w:tcPr>
            <w:tcW w:w="1606" w:type="dxa"/>
            <w:tcBorders>
              <w:bottom w:val="double" w:color="auto" w:sz="4" w:space="0"/>
            </w:tcBorders>
            <w:vAlign w:val="center"/>
          </w:tcPr>
          <w:p>
            <w:pPr>
              <w:spacing w:line="360" w:lineRule="auto"/>
              <w:jc w:val="center"/>
              <w:rPr>
                <w:sz w:val="18"/>
                <w:szCs w:val="18"/>
              </w:rPr>
            </w:pPr>
            <w:r>
              <w:rPr>
                <w:rFonts w:hint="eastAsia"/>
                <w:sz w:val="18"/>
                <w:szCs w:val="18"/>
              </w:rPr>
              <w:t>一级、二级</w:t>
            </w:r>
          </w:p>
        </w:tc>
        <w:tc>
          <w:tcPr>
            <w:tcW w:w="717" w:type="dxa"/>
            <w:tcBorders>
              <w:bottom w:val="double" w:color="auto" w:sz="4" w:space="0"/>
            </w:tcBorders>
            <w:vAlign w:val="center"/>
          </w:tcPr>
          <w:p>
            <w:pPr>
              <w:spacing w:line="360" w:lineRule="auto"/>
              <w:jc w:val="center"/>
              <w:rPr>
                <w:rFonts w:hint="eastAsia" w:eastAsia="宋体"/>
                <w:sz w:val="18"/>
                <w:szCs w:val="18"/>
                <w:lang w:eastAsia="zh-CN"/>
              </w:rPr>
            </w:pPr>
            <w:r>
              <w:rPr>
                <w:rFonts w:hint="eastAsia"/>
                <w:sz w:val="18"/>
                <w:szCs w:val="18"/>
                <w:lang w:val="en-US" w:eastAsia="zh-CN"/>
              </w:rPr>
              <w:t>6</w:t>
            </w:r>
          </w:p>
        </w:tc>
        <w:tc>
          <w:tcPr>
            <w:tcW w:w="1251" w:type="dxa"/>
            <w:tcBorders>
              <w:bottom w:val="double" w:color="auto" w:sz="4" w:space="0"/>
            </w:tcBorders>
            <w:vAlign w:val="center"/>
          </w:tcPr>
          <w:p>
            <w:pPr>
              <w:spacing w:line="360" w:lineRule="auto"/>
              <w:jc w:val="center"/>
              <w:rPr>
                <w:sz w:val="18"/>
                <w:szCs w:val="18"/>
              </w:rPr>
            </w:pPr>
            <w:r>
              <w:rPr>
                <w:rFonts w:hint="eastAsia"/>
                <w:sz w:val="18"/>
                <w:szCs w:val="18"/>
              </w:rPr>
              <w:t>良好</w:t>
            </w:r>
          </w:p>
        </w:tc>
        <w:tc>
          <w:tcPr>
            <w:tcW w:w="1366" w:type="dxa"/>
            <w:tcBorders>
              <w:bottom w:val="double" w:color="auto" w:sz="4" w:space="0"/>
            </w:tcBorders>
            <w:vAlign w:val="center"/>
          </w:tcPr>
          <w:p>
            <w:pPr>
              <w:spacing w:line="360" w:lineRule="auto"/>
              <w:jc w:val="center"/>
              <w:rPr>
                <w:sz w:val="18"/>
                <w:szCs w:val="18"/>
              </w:rPr>
            </w:pPr>
            <w:r>
              <w:rPr>
                <w:rFonts w:hint="eastAsia"/>
                <w:sz w:val="18"/>
                <w:szCs w:val="18"/>
              </w:rPr>
              <w:t>已进场</w:t>
            </w:r>
          </w:p>
        </w:tc>
        <w:tc>
          <w:tcPr>
            <w:tcW w:w="1058" w:type="dxa"/>
            <w:tcBorders>
              <w:bottom w:val="double" w:color="auto" w:sz="4" w:space="0"/>
            </w:tcBorders>
            <w:vAlign w:val="center"/>
          </w:tcPr>
          <w:p>
            <w:pPr>
              <w:spacing w:line="360" w:lineRule="auto"/>
              <w:jc w:val="center"/>
              <w:rPr>
                <w:sz w:val="18"/>
                <w:szCs w:val="18"/>
              </w:rPr>
            </w:pPr>
          </w:p>
        </w:tc>
      </w:tr>
    </w:tbl>
    <w:p>
      <w:pPr>
        <w:spacing w:line="360" w:lineRule="auto"/>
        <w:outlineLvl w:val="0"/>
        <w:rPr>
          <w:rFonts w:ascii="宋体"/>
          <w:b/>
          <w:bCs/>
          <w:sz w:val="32"/>
        </w:rPr>
        <w:sectPr>
          <w:footerReference r:id="rId10" w:type="first"/>
          <w:footerReference r:id="rId9" w:type="default"/>
          <w:pgSz w:w="11906" w:h="16838"/>
          <w:pgMar w:top="1440" w:right="1418" w:bottom="1440" w:left="1701" w:header="851" w:footer="992" w:gutter="0"/>
          <w:pgNumType w:start="2"/>
          <w:cols w:space="720" w:num="1"/>
          <w:docGrid w:type="lines" w:linePitch="312" w:charSpace="0"/>
        </w:sectPr>
      </w:pPr>
    </w:p>
    <w:p>
      <w:pPr>
        <w:spacing w:line="360" w:lineRule="auto"/>
        <w:jc w:val="center"/>
        <w:outlineLvl w:val="0"/>
        <w:rPr>
          <w:rFonts w:ascii="宋体"/>
          <w:b/>
          <w:bCs/>
          <w:sz w:val="32"/>
        </w:rPr>
      </w:pPr>
      <w:bookmarkStart w:id="25" w:name="_Toc353351863"/>
      <w:bookmarkStart w:id="26" w:name="_Toc350517630"/>
      <w:r>
        <w:rPr>
          <w:rFonts w:hint="eastAsia" w:ascii="宋体" w:hAnsi="宋体"/>
          <w:b/>
          <w:bCs/>
          <w:sz w:val="32"/>
        </w:rPr>
        <w:t>第三章</w:t>
      </w:r>
      <w:r>
        <w:rPr>
          <w:rFonts w:ascii="宋体" w:hAnsi="宋体"/>
          <w:b/>
          <w:bCs/>
          <w:sz w:val="32"/>
        </w:rPr>
        <w:t xml:space="preserve"> </w:t>
      </w:r>
      <w:r>
        <w:rPr>
          <w:rFonts w:hint="eastAsia" w:ascii="宋体" w:hAnsi="宋体"/>
          <w:b/>
          <w:bCs/>
          <w:sz w:val="32"/>
        </w:rPr>
        <w:t>总体施工方案</w:t>
      </w:r>
      <w:bookmarkEnd w:id="25"/>
      <w:bookmarkEnd w:id="26"/>
    </w:p>
    <w:p>
      <w:pPr>
        <w:spacing w:line="360" w:lineRule="auto"/>
        <w:outlineLvl w:val="1"/>
        <w:rPr>
          <w:rFonts w:ascii="宋体"/>
          <w:b/>
          <w:sz w:val="28"/>
          <w:szCs w:val="28"/>
        </w:rPr>
      </w:pPr>
      <w:bookmarkStart w:id="27" w:name="_Toc350517631"/>
      <w:bookmarkStart w:id="28" w:name="_Toc353351864"/>
      <w:r>
        <w:rPr>
          <w:rFonts w:ascii="宋体" w:hAnsi="宋体"/>
          <w:b/>
          <w:sz w:val="28"/>
          <w:szCs w:val="28"/>
        </w:rPr>
        <w:t xml:space="preserve">3.1 </w:t>
      </w:r>
      <w:r>
        <w:rPr>
          <w:rFonts w:hint="eastAsia" w:ascii="宋体" w:hAnsi="宋体"/>
          <w:b/>
          <w:sz w:val="28"/>
          <w:szCs w:val="28"/>
        </w:rPr>
        <w:t>方案概述</w:t>
      </w:r>
      <w:bookmarkEnd w:id="27"/>
      <w:bookmarkEnd w:id="28"/>
    </w:p>
    <w:p>
      <w:pPr>
        <w:spacing w:line="360" w:lineRule="auto"/>
        <w:ind w:firstLine="480" w:firstLineChars="200"/>
        <w:rPr>
          <w:rFonts w:ascii="宋体"/>
          <w:sz w:val="24"/>
        </w:rPr>
      </w:pPr>
      <w:r>
        <w:rPr>
          <w:rFonts w:hint="eastAsia"/>
          <w:sz w:val="24"/>
        </w:rPr>
        <w:t>工程</w:t>
      </w:r>
      <w:r>
        <w:rPr>
          <w:rFonts w:hint="eastAsia" w:ascii="宋体" w:hAnsi="宋体"/>
          <w:sz w:val="24"/>
        </w:rPr>
        <w:t>施工采用在回填土层的平面上直接施工的方案，回填层平面在楼层桩基的位置上直接铺设约</w:t>
      </w:r>
      <w:r>
        <w:rPr>
          <w:rFonts w:ascii="宋体" w:hAnsi="宋体"/>
          <w:sz w:val="24"/>
        </w:rPr>
        <w:t>30cm</w:t>
      </w:r>
      <w:r>
        <w:rPr>
          <w:rFonts w:hint="eastAsia" w:ascii="宋体" w:hAnsi="宋体"/>
          <w:sz w:val="24"/>
        </w:rPr>
        <w:t>厚的碎石渣，以承载机械车辆的活动压力，保证正常施工。</w:t>
      </w:r>
    </w:p>
    <w:p>
      <w:pPr>
        <w:spacing w:line="360" w:lineRule="auto"/>
        <w:ind w:firstLine="480" w:firstLineChars="200"/>
        <w:rPr>
          <w:sz w:val="24"/>
        </w:rPr>
      </w:pPr>
      <w:r>
        <w:rPr>
          <w:rFonts w:hint="eastAsia"/>
          <w:sz w:val="24"/>
        </w:rPr>
        <w:t>钻孔桩施工期间由</w:t>
      </w:r>
      <w:r>
        <w:rPr>
          <w:rFonts w:ascii="宋体" w:hAnsi="宋体"/>
          <w:sz w:val="24"/>
        </w:rPr>
        <w:t>25T</w:t>
      </w:r>
      <w:r>
        <w:rPr>
          <w:rFonts w:hint="eastAsia" w:ascii="宋体" w:hAnsi="宋体"/>
          <w:sz w:val="24"/>
        </w:rPr>
        <w:t>汽车吊机配合</w:t>
      </w:r>
      <w:r>
        <w:rPr>
          <w:rFonts w:hint="eastAsia"/>
          <w:sz w:val="24"/>
        </w:rPr>
        <w:t>钢筋笼的安装和混凝土的灌注等工作。</w:t>
      </w:r>
    </w:p>
    <w:p>
      <w:pPr>
        <w:spacing w:line="360" w:lineRule="auto"/>
        <w:outlineLvl w:val="1"/>
        <w:rPr>
          <w:rFonts w:ascii="宋体"/>
          <w:b/>
          <w:sz w:val="28"/>
          <w:szCs w:val="28"/>
        </w:rPr>
      </w:pPr>
      <w:r>
        <w:pict>
          <v:shape id="Picture 3" o:spid="_x0000_s1027" o:spt="75" type="#_x0000_t75" style="position:absolute;left:0pt;margin-left:-62.2pt;margin-top:29.6pt;height:392pt;width:573.3pt;z-index:1024;mso-width-relative:page;mso-height-relative:page;" o:ole="t" filled="f" o:preferrelative="t" stroked="f" coordsize="21600,21600">
            <v:path/>
            <v:fill on="f" focussize="0,0"/>
            <v:stroke on="f" joinstyle="miter"/>
            <v:imagedata r:id="rId18" o:title=""/>
            <o:lock v:ext="edit" aspectratio="t"/>
          </v:shape>
          <o:OLEObject Type="Embed" ProgID="Unknown" ShapeID="Picture 3" DrawAspect="Content" ObjectID="_1468075726" r:id="rId17">
            <o:LockedField>false</o:LockedField>
          </o:OLEObject>
        </w:pict>
      </w:r>
      <w:bookmarkStart w:id="29" w:name="_Toc353351865"/>
      <w:bookmarkStart w:id="30" w:name="_Toc350517632"/>
      <w:r>
        <w:rPr>
          <w:rFonts w:ascii="宋体" w:hAnsi="宋体"/>
          <w:b/>
          <w:sz w:val="28"/>
          <w:szCs w:val="28"/>
        </w:rPr>
        <w:t xml:space="preserve">3.2 </w:t>
      </w:r>
      <w:r>
        <w:rPr>
          <w:rFonts w:hint="eastAsia" w:ascii="宋体" w:hAnsi="宋体"/>
          <w:b/>
          <w:sz w:val="28"/>
          <w:szCs w:val="28"/>
        </w:rPr>
        <w:t>工艺流程</w:t>
      </w:r>
      <w:bookmarkEnd w:id="29"/>
      <w:bookmarkEnd w:id="30"/>
    </w:p>
    <w:p>
      <w:pPr>
        <w:spacing w:line="360" w:lineRule="auto"/>
        <w:jc w:val="center"/>
        <w:rPr>
          <w:sz w:val="24"/>
        </w:rPr>
      </w:pPr>
    </w:p>
    <w:p>
      <w:pPr>
        <w:spacing w:line="360" w:lineRule="auto"/>
        <w:jc w:val="center"/>
        <w:rPr>
          <w:sz w:val="24"/>
        </w:rPr>
      </w:pPr>
    </w:p>
    <w:p>
      <w:pPr>
        <w:spacing w:line="360" w:lineRule="auto"/>
        <w:jc w:val="center"/>
        <w:rPr>
          <w:sz w:val="24"/>
        </w:rPr>
      </w:pPr>
    </w:p>
    <w:p>
      <w:pPr>
        <w:spacing w:line="360" w:lineRule="auto"/>
        <w:jc w:val="center"/>
        <w:rPr>
          <w:sz w:val="24"/>
        </w:rPr>
      </w:pPr>
    </w:p>
    <w:p>
      <w:pPr>
        <w:spacing w:line="360" w:lineRule="auto"/>
        <w:jc w:val="center"/>
        <w:rPr>
          <w:sz w:val="24"/>
        </w:rPr>
      </w:pPr>
    </w:p>
    <w:p>
      <w:pPr>
        <w:spacing w:line="360" w:lineRule="auto"/>
        <w:jc w:val="center"/>
        <w:rPr>
          <w:sz w:val="24"/>
        </w:rPr>
      </w:pPr>
    </w:p>
    <w:p>
      <w:pPr>
        <w:spacing w:line="360" w:lineRule="auto"/>
        <w:jc w:val="center"/>
        <w:rPr>
          <w:sz w:val="24"/>
        </w:rPr>
      </w:pPr>
    </w:p>
    <w:p>
      <w:pPr>
        <w:spacing w:line="360" w:lineRule="auto"/>
        <w:jc w:val="center"/>
        <w:rPr>
          <w:sz w:val="24"/>
        </w:rPr>
      </w:pPr>
    </w:p>
    <w:p>
      <w:pPr>
        <w:spacing w:line="360" w:lineRule="auto"/>
        <w:jc w:val="center"/>
        <w:rPr>
          <w:sz w:val="24"/>
        </w:rPr>
      </w:pPr>
    </w:p>
    <w:p>
      <w:pPr>
        <w:spacing w:line="360" w:lineRule="auto"/>
        <w:jc w:val="center"/>
        <w:rPr>
          <w:b/>
          <w:szCs w:val="21"/>
        </w:rPr>
      </w:pPr>
    </w:p>
    <w:p>
      <w:pPr>
        <w:spacing w:line="360" w:lineRule="auto"/>
        <w:jc w:val="center"/>
        <w:rPr>
          <w:b/>
          <w:szCs w:val="21"/>
        </w:rPr>
      </w:pPr>
    </w:p>
    <w:p>
      <w:pPr>
        <w:spacing w:line="360" w:lineRule="auto"/>
        <w:jc w:val="center"/>
        <w:rPr>
          <w:b/>
          <w:szCs w:val="21"/>
        </w:rPr>
      </w:pPr>
    </w:p>
    <w:p>
      <w:pPr>
        <w:spacing w:line="360" w:lineRule="auto"/>
        <w:jc w:val="center"/>
        <w:rPr>
          <w:b/>
          <w:szCs w:val="21"/>
        </w:rPr>
      </w:pPr>
    </w:p>
    <w:p>
      <w:pPr>
        <w:spacing w:line="360" w:lineRule="auto"/>
        <w:jc w:val="center"/>
        <w:rPr>
          <w:b/>
          <w:szCs w:val="21"/>
        </w:rPr>
      </w:pPr>
    </w:p>
    <w:p>
      <w:pPr>
        <w:spacing w:line="360" w:lineRule="auto"/>
        <w:jc w:val="center"/>
        <w:rPr>
          <w:b/>
          <w:szCs w:val="21"/>
        </w:rPr>
      </w:pPr>
    </w:p>
    <w:p>
      <w:pPr>
        <w:spacing w:line="360" w:lineRule="auto"/>
        <w:jc w:val="center"/>
        <w:rPr>
          <w:b/>
          <w:szCs w:val="21"/>
        </w:rPr>
      </w:pPr>
    </w:p>
    <w:p>
      <w:pPr>
        <w:spacing w:line="360" w:lineRule="auto"/>
        <w:jc w:val="center"/>
        <w:rPr>
          <w:b/>
          <w:szCs w:val="21"/>
        </w:rPr>
      </w:pPr>
    </w:p>
    <w:p>
      <w:pPr>
        <w:spacing w:line="360" w:lineRule="auto"/>
        <w:jc w:val="center"/>
        <w:rPr>
          <w:b/>
          <w:szCs w:val="21"/>
        </w:rPr>
      </w:pPr>
    </w:p>
    <w:p>
      <w:pPr>
        <w:spacing w:line="360" w:lineRule="auto"/>
        <w:jc w:val="center"/>
        <w:rPr>
          <w:b/>
          <w:szCs w:val="21"/>
        </w:rPr>
      </w:pPr>
    </w:p>
    <w:p>
      <w:pPr>
        <w:spacing w:line="360" w:lineRule="auto"/>
        <w:jc w:val="center"/>
        <w:rPr>
          <w:b/>
          <w:szCs w:val="21"/>
        </w:rPr>
      </w:pPr>
    </w:p>
    <w:p>
      <w:pPr>
        <w:spacing w:line="360" w:lineRule="auto"/>
        <w:jc w:val="center"/>
        <w:rPr>
          <w:b/>
          <w:szCs w:val="21"/>
        </w:rPr>
      </w:pPr>
    </w:p>
    <w:p>
      <w:pPr>
        <w:spacing w:line="360" w:lineRule="auto"/>
        <w:jc w:val="center"/>
        <w:rPr>
          <w:b/>
          <w:szCs w:val="21"/>
        </w:rPr>
      </w:pPr>
    </w:p>
    <w:p>
      <w:pPr>
        <w:spacing w:line="360" w:lineRule="auto"/>
        <w:jc w:val="center"/>
        <w:rPr>
          <w:b/>
          <w:szCs w:val="21"/>
        </w:rPr>
        <w:sectPr>
          <w:footerReference r:id="rId11" w:type="default"/>
          <w:pgSz w:w="11906" w:h="16838"/>
          <w:pgMar w:top="1440" w:right="1304" w:bottom="1440" w:left="1588" w:header="851" w:footer="992" w:gutter="0"/>
          <w:pgNumType w:start="10"/>
          <w:cols w:space="720" w:num="1"/>
          <w:docGrid w:type="lines" w:linePitch="312" w:charSpace="0"/>
        </w:sectPr>
      </w:pPr>
    </w:p>
    <w:p>
      <w:pPr>
        <w:spacing w:line="360" w:lineRule="auto"/>
        <w:jc w:val="center"/>
        <w:rPr>
          <w:b/>
          <w:szCs w:val="21"/>
        </w:rPr>
      </w:pPr>
      <w:r>
        <w:rPr>
          <w:rFonts w:hint="eastAsia"/>
          <w:b/>
          <w:szCs w:val="21"/>
        </w:rPr>
        <w:t>图</w:t>
      </w:r>
      <w:r>
        <w:rPr>
          <w:b/>
          <w:szCs w:val="21"/>
        </w:rPr>
        <w:t xml:space="preserve">3-1 </w:t>
      </w:r>
      <w:r>
        <w:rPr>
          <w:rFonts w:hint="eastAsia"/>
          <w:b/>
          <w:szCs w:val="21"/>
        </w:rPr>
        <w:t>钻孔桩施工流程图</w:t>
      </w:r>
    </w:p>
    <w:p>
      <w:pPr>
        <w:spacing w:line="360" w:lineRule="auto"/>
        <w:jc w:val="center"/>
        <w:rPr>
          <w:b/>
          <w:szCs w:val="21"/>
        </w:rPr>
      </w:pPr>
    </w:p>
    <w:p>
      <w:pPr>
        <w:spacing w:line="360" w:lineRule="auto"/>
        <w:jc w:val="center"/>
        <w:rPr>
          <w:sz w:val="24"/>
        </w:rPr>
      </w:pPr>
      <w:r>
        <w:pict>
          <v:rect id="Rectangle 5" o:spid="_x0000_s1028" o:spt="1" style="position:absolute;left:0pt;margin-left:175.8pt;margin-top:46.7pt;height:23.65pt;width:103.75pt;z-index:1024;mso-width-relative:page;mso-height-relative:page;" o:preferrelative="t" coordsize="21600,21600">
            <v:path/>
            <v:fill focussize="0,0"/>
            <v:stroke miterlimit="2"/>
            <v:imagedata o:title=""/>
            <o:lock v:ext="edit"/>
            <v:textbox>
              <w:txbxContent>
                <w:p>
                  <w:pPr>
                    <w:jc w:val="center"/>
                    <w:rPr>
                      <w:b/>
                    </w:rPr>
                  </w:pPr>
                  <w:r>
                    <w:rPr>
                      <w:rFonts w:hint="eastAsia"/>
                      <w:b/>
                    </w:rPr>
                    <w:t>钢护筒埋设</w:t>
                  </w:r>
                </w:p>
              </w:txbxContent>
            </v:textbox>
          </v:rect>
        </w:pict>
      </w:r>
      <w:r>
        <w:pict>
          <v:rect id="Rectangle 4" o:spid="_x0000_s1029" o:spt="1" style="position:absolute;left:0pt;margin-left:167.75pt;margin-top:5.85pt;height:21.5pt;width:120.9pt;z-index:1024;mso-width-relative:page;mso-height-relative:page;" o:preferrelative="t" coordsize="21600,21600">
            <v:path/>
            <v:fill focussize="0,0"/>
            <v:stroke miterlimit="2"/>
            <v:imagedata o:title=""/>
            <o:lock v:ext="edit"/>
            <v:textbox>
              <w:txbxContent>
                <w:p>
                  <w:pPr>
                    <w:rPr>
                      <w:b/>
                    </w:rPr>
                  </w:pPr>
                  <w:r>
                    <w:rPr>
                      <w:rFonts w:hint="eastAsia"/>
                      <w:b/>
                    </w:rPr>
                    <w:t>平整场地、测放桩位</w:t>
                  </w:r>
                </w:p>
              </w:txbxContent>
            </v:textbox>
          </v:rect>
        </w:pict>
      </w:r>
      <w:r>
        <w:rPr>
          <w:sz w:val="24"/>
        </w:rPr>
        <w:pict>
          <v:shape id="_x0000_i1026" o:spt="75" type="#_x0000_t75" style="height:495pt;width:363pt;" filled="f" o:preferrelative="t" stroked="f" coordsize="21600,21600">
            <v:path/>
            <v:fill on="f" focussize="0,0"/>
            <v:stroke on="f" joinstyle="miter"/>
            <v:imagedata r:id="rId19" o:title=""/>
            <o:lock v:ext="edit" aspectratio="t"/>
            <w10:wrap type="none"/>
            <w10:anchorlock/>
          </v:shape>
        </w:pict>
      </w:r>
    </w:p>
    <w:p>
      <w:pPr>
        <w:pageBreakBefore/>
        <w:spacing w:line="360" w:lineRule="auto"/>
        <w:jc w:val="center"/>
        <w:outlineLvl w:val="0"/>
        <w:rPr>
          <w:rFonts w:ascii="宋体"/>
          <w:b/>
          <w:bCs/>
          <w:sz w:val="32"/>
        </w:rPr>
      </w:pPr>
      <w:bookmarkStart w:id="31" w:name="_Toc350517633"/>
      <w:bookmarkStart w:id="32" w:name="_Toc353351866"/>
      <w:r>
        <w:rPr>
          <w:rFonts w:hint="eastAsia" w:ascii="宋体" w:hAnsi="宋体"/>
          <w:b/>
          <w:bCs/>
          <w:sz w:val="32"/>
        </w:rPr>
        <w:t>第四章</w:t>
      </w:r>
      <w:r>
        <w:rPr>
          <w:rFonts w:ascii="宋体" w:hAnsi="宋体"/>
          <w:b/>
          <w:bCs/>
          <w:sz w:val="32"/>
        </w:rPr>
        <w:t xml:space="preserve"> </w:t>
      </w:r>
      <w:r>
        <w:rPr>
          <w:rFonts w:hint="eastAsia" w:ascii="宋体" w:hAnsi="宋体"/>
          <w:b/>
          <w:bCs/>
          <w:sz w:val="32"/>
        </w:rPr>
        <w:t>钻孔桩施工</w:t>
      </w:r>
      <w:bookmarkEnd w:id="31"/>
      <w:r>
        <w:rPr>
          <w:rFonts w:hint="eastAsia" w:ascii="宋体" w:hAnsi="宋体"/>
          <w:b/>
          <w:bCs/>
          <w:sz w:val="32"/>
        </w:rPr>
        <w:t>准备</w:t>
      </w:r>
      <w:bookmarkEnd w:id="32"/>
    </w:p>
    <w:p>
      <w:pPr>
        <w:spacing w:line="360" w:lineRule="auto"/>
        <w:outlineLvl w:val="1"/>
        <w:rPr>
          <w:rFonts w:ascii="宋体"/>
          <w:b/>
          <w:sz w:val="28"/>
          <w:szCs w:val="28"/>
        </w:rPr>
      </w:pPr>
      <w:bookmarkStart w:id="33" w:name="_Toc353351867"/>
      <w:bookmarkStart w:id="34" w:name="_Toc350517634"/>
      <w:r>
        <w:rPr>
          <w:rFonts w:ascii="宋体" w:hAnsi="宋体"/>
          <w:b/>
          <w:sz w:val="28"/>
          <w:szCs w:val="28"/>
        </w:rPr>
        <w:t>4.1</w:t>
      </w:r>
      <w:r>
        <w:rPr>
          <w:rFonts w:hint="eastAsia" w:ascii="宋体" w:hAnsi="宋体"/>
          <w:b/>
          <w:sz w:val="28"/>
          <w:szCs w:val="28"/>
        </w:rPr>
        <w:t>施工准备</w:t>
      </w:r>
      <w:bookmarkEnd w:id="33"/>
      <w:bookmarkEnd w:id="34"/>
    </w:p>
    <w:p>
      <w:pPr>
        <w:spacing w:line="360" w:lineRule="auto"/>
        <w:ind w:firstLine="482" w:firstLineChars="200"/>
        <w:outlineLvl w:val="2"/>
        <w:rPr>
          <w:rFonts w:ascii="宋体"/>
          <w:b/>
          <w:sz w:val="24"/>
        </w:rPr>
      </w:pPr>
      <w:bookmarkStart w:id="35" w:name="_Toc353351868"/>
      <w:r>
        <w:rPr>
          <w:rFonts w:ascii="宋体" w:hAnsi="宋体"/>
          <w:b/>
          <w:sz w:val="24"/>
        </w:rPr>
        <w:t>4.1.1</w:t>
      </w:r>
      <w:r>
        <w:rPr>
          <w:rFonts w:hint="eastAsia" w:ascii="宋体" w:hAnsi="宋体"/>
          <w:b/>
          <w:sz w:val="24"/>
        </w:rPr>
        <w:t>技术准备</w:t>
      </w:r>
      <w:bookmarkEnd w:id="35"/>
    </w:p>
    <w:p>
      <w:pPr>
        <w:pStyle w:val="62"/>
        <w:numPr>
          <w:ilvl w:val="0"/>
          <w:numId w:val="2"/>
        </w:numPr>
        <w:spacing w:line="360" w:lineRule="auto"/>
        <w:ind w:firstLineChars="0"/>
        <w:jc w:val="left"/>
        <w:rPr>
          <w:rFonts w:ascii="宋体" w:cs="Courier New"/>
          <w:sz w:val="24"/>
          <w:szCs w:val="21"/>
        </w:rPr>
      </w:pPr>
      <w:r>
        <w:rPr>
          <w:rFonts w:hint="eastAsia" w:ascii="宋体" w:hAnsi="宋体" w:cs="Courier New"/>
          <w:sz w:val="24"/>
          <w:szCs w:val="21"/>
        </w:rPr>
        <w:t>熟悉施工图纸</w:t>
      </w:r>
    </w:p>
    <w:p>
      <w:pPr>
        <w:pStyle w:val="62"/>
        <w:numPr>
          <w:ilvl w:val="0"/>
          <w:numId w:val="2"/>
        </w:numPr>
        <w:spacing w:line="360" w:lineRule="auto"/>
        <w:ind w:firstLineChars="0"/>
        <w:jc w:val="left"/>
        <w:rPr>
          <w:rFonts w:ascii="宋体" w:cs="Courier New"/>
          <w:sz w:val="24"/>
          <w:szCs w:val="21"/>
        </w:rPr>
      </w:pPr>
      <w:r>
        <w:rPr>
          <w:rFonts w:hint="eastAsia" w:ascii="宋体" w:hAnsi="宋体" w:cs="Courier New"/>
          <w:sz w:val="24"/>
          <w:szCs w:val="21"/>
        </w:rPr>
        <w:t>施工图纸是否完整和齐全；施工图纸是否符合国家有关工程设计和施工的方针及政策。</w:t>
      </w:r>
    </w:p>
    <w:p>
      <w:pPr>
        <w:pStyle w:val="62"/>
        <w:numPr>
          <w:ilvl w:val="0"/>
          <w:numId w:val="2"/>
        </w:numPr>
        <w:spacing w:line="360" w:lineRule="auto"/>
        <w:ind w:firstLineChars="0"/>
        <w:jc w:val="left"/>
        <w:rPr>
          <w:rFonts w:ascii="宋体" w:cs="Courier New"/>
          <w:sz w:val="24"/>
          <w:szCs w:val="21"/>
        </w:rPr>
      </w:pPr>
      <w:r>
        <w:rPr>
          <w:rFonts w:hint="eastAsia" w:ascii="宋体" w:hAnsi="宋体" w:cs="Courier New"/>
          <w:sz w:val="24"/>
          <w:szCs w:val="21"/>
        </w:rPr>
        <w:t>施工图纸与其说明书在内容上是否一致；施工图纸及其各组成部分之间有无矛盾和错误。</w:t>
      </w:r>
    </w:p>
    <w:p>
      <w:pPr>
        <w:pStyle w:val="62"/>
        <w:numPr>
          <w:ilvl w:val="0"/>
          <w:numId w:val="2"/>
        </w:numPr>
        <w:spacing w:line="360" w:lineRule="auto"/>
        <w:ind w:firstLineChars="0"/>
        <w:jc w:val="left"/>
        <w:rPr>
          <w:rFonts w:ascii="宋体" w:cs="Courier New"/>
          <w:sz w:val="24"/>
          <w:szCs w:val="21"/>
        </w:rPr>
      </w:pPr>
      <w:r>
        <w:rPr>
          <w:rFonts w:hint="eastAsia" w:ascii="宋体" w:hAnsi="宋体" w:cs="Courier New"/>
          <w:sz w:val="24"/>
          <w:szCs w:val="21"/>
        </w:rPr>
        <w:t>学习相关规范及操作规程。</w:t>
      </w:r>
    </w:p>
    <w:p>
      <w:pPr>
        <w:spacing w:line="360" w:lineRule="auto"/>
        <w:ind w:firstLine="482" w:firstLineChars="200"/>
        <w:outlineLvl w:val="2"/>
        <w:rPr>
          <w:rFonts w:ascii="宋体"/>
          <w:b/>
          <w:kern w:val="0"/>
          <w:sz w:val="24"/>
        </w:rPr>
      </w:pPr>
      <w:bookmarkStart w:id="36" w:name="_Toc353351869"/>
      <w:r>
        <w:rPr>
          <w:rFonts w:ascii="宋体" w:hAnsi="宋体"/>
          <w:b/>
          <w:sz w:val="24"/>
        </w:rPr>
        <w:t>4.1.2</w:t>
      </w:r>
      <w:r>
        <w:rPr>
          <w:rFonts w:hint="eastAsia" w:ascii="宋体" w:hAnsi="宋体"/>
          <w:b/>
          <w:kern w:val="0"/>
          <w:sz w:val="24"/>
        </w:rPr>
        <w:t>施工现场控制网测量</w:t>
      </w:r>
      <w:bookmarkEnd w:id="36"/>
    </w:p>
    <w:p>
      <w:pPr>
        <w:pStyle w:val="16"/>
        <w:tabs>
          <w:tab w:val="left" w:pos="4928"/>
        </w:tabs>
        <w:spacing w:line="500" w:lineRule="exact"/>
        <w:ind w:firstLine="480" w:firstLineChars="200"/>
        <w:rPr>
          <w:rFonts w:hAnsi="宋体"/>
        </w:rPr>
      </w:pPr>
      <w:r>
        <w:rPr>
          <w:rFonts w:hint="eastAsia" w:hAnsi="宋体"/>
        </w:rPr>
        <w:t>根据给定永久性坐标和高程，按照建筑总平面图要求，进行施工场地控制网测量，设置场区控制测量标桩。</w:t>
      </w:r>
    </w:p>
    <w:p>
      <w:pPr>
        <w:spacing w:line="360" w:lineRule="auto"/>
        <w:ind w:firstLine="482" w:firstLineChars="200"/>
        <w:outlineLvl w:val="2"/>
        <w:rPr>
          <w:rFonts w:ascii="宋体"/>
          <w:b/>
          <w:kern w:val="0"/>
          <w:sz w:val="24"/>
        </w:rPr>
      </w:pPr>
      <w:bookmarkStart w:id="37" w:name="_Toc353351870"/>
      <w:r>
        <w:rPr>
          <w:rFonts w:ascii="宋体" w:hAnsi="宋体"/>
          <w:b/>
          <w:sz w:val="24"/>
        </w:rPr>
        <w:t>4.1.3</w:t>
      </w:r>
      <w:r>
        <w:rPr>
          <w:rFonts w:hint="eastAsia" w:ascii="宋体" w:hAnsi="宋体"/>
          <w:b/>
          <w:kern w:val="0"/>
          <w:sz w:val="24"/>
        </w:rPr>
        <w:t>场地准备</w:t>
      </w:r>
      <w:bookmarkEnd w:id="37"/>
    </w:p>
    <w:p>
      <w:pPr>
        <w:pStyle w:val="16"/>
        <w:numPr>
          <w:ilvl w:val="0"/>
          <w:numId w:val="0"/>
        </w:numPr>
        <w:tabs>
          <w:tab w:val="left" w:pos="4928"/>
        </w:tabs>
        <w:spacing w:line="500" w:lineRule="exact"/>
        <w:ind w:left="480" w:leftChars="0"/>
        <w:rPr>
          <w:rFonts w:hAnsi="宋体"/>
        </w:rPr>
      </w:pPr>
      <w:r>
        <w:rPr>
          <w:rFonts w:hint="eastAsia" w:hAnsi="宋体"/>
        </w:rPr>
        <w:t>施工现场进行适当平整，做好四周围护。</w:t>
      </w:r>
    </w:p>
    <w:p>
      <w:pPr>
        <w:pStyle w:val="16"/>
        <w:numPr>
          <w:ilvl w:val="0"/>
          <w:numId w:val="0"/>
        </w:numPr>
        <w:tabs>
          <w:tab w:val="left" w:pos="4928"/>
        </w:tabs>
        <w:spacing w:line="500" w:lineRule="exact"/>
        <w:ind w:left="480" w:leftChars="0"/>
        <w:rPr>
          <w:rFonts w:hAnsi="宋体"/>
        </w:rPr>
      </w:pPr>
      <w:r>
        <w:rPr>
          <w:rFonts w:hint="eastAsia" w:hAnsi="宋体"/>
        </w:rPr>
        <w:t>按总平面布置图铺设施工临时道路与硬地坪施工，修筑排水明沟，敷设施工临时供水管线，架设施工用电线路。</w:t>
      </w:r>
    </w:p>
    <w:p>
      <w:pPr>
        <w:spacing w:line="360" w:lineRule="auto"/>
        <w:ind w:firstLine="482" w:firstLineChars="200"/>
        <w:outlineLvl w:val="2"/>
        <w:rPr>
          <w:rFonts w:ascii="宋体"/>
          <w:b/>
          <w:sz w:val="24"/>
        </w:rPr>
      </w:pPr>
      <w:bookmarkStart w:id="38" w:name="_Toc353351871"/>
      <w:r>
        <w:rPr>
          <w:rFonts w:ascii="宋体" w:hAnsi="宋体"/>
          <w:b/>
          <w:sz w:val="24"/>
        </w:rPr>
        <w:t>4.1.4</w:t>
      </w:r>
      <w:r>
        <w:rPr>
          <w:rFonts w:hint="eastAsia" w:ascii="宋体" w:hAnsi="宋体"/>
          <w:b/>
          <w:sz w:val="24"/>
        </w:rPr>
        <w:t>钻孔平台搭设</w:t>
      </w:r>
      <w:bookmarkEnd w:id="38"/>
    </w:p>
    <w:p>
      <w:pPr>
        <w:pStyle w:val="16"/>
        <w:spacing w:line="360" w:lineRule="auto"/>
        <w:ind w:firstLine="480" w:firstLineChars="200"/>
        <w:rPr>
          <w:rFonts w:hAnsi="宋体"/>
          <w:szCs w:val="28"/>
        </w:rPr>
      </w:pPr>
      <w:r>
        <w:rPr>
          <w:rFonts w:hint="eastAsia" w:ascii="Times New Roman" w:hAnsi="Times New Roman"/>
        </w:rPr>
        <w:t>钻孔平台是场地平整的一个面，地面下要确保土层厚实</w:t>
      </w:r>
      <w:r>
        <w:rPr>
          <w:rFonts w:ascii="Times New Roman" w:hAnsi="Times New Roman"/>
        </w:rPr>
        <w:t>,</w:t>
      </w:r>
      <w:r>
        <w:rPr>
          <w:rFonts w:hint="eastAsia" w:ascii="Times New Roman" w:hAnsi="Times New Roman"/>
        </w:rPr>
        <w:t>在淤泥层与软地基层面要排设钢板</w:t>
      </w:r>
      <w:r>
        <w:rPr>
          <w:rFonts w:ascii="Times New Roman" w:hAnsi="Times New Roman"/>
        </w:rPr>
        <w:t>,</w:t>
      </w:r>
      <w:r>
        <w:rPr>
          <w:rFonts w:hint="eastAsia" w:ascii="Times New Roman" w:hAnsi="Times New Roman"/>
        </w:rPr>
        <w:t>以确保钻孔平台的稳定性。在钻孔平台纵向两侧设置便道，并与平台联接成整体。</w:t>
      </w:r>
      <w:r>
        <w:rPr>
          <w:rFonts w:hint="eastAsia" w:hAnsi="宋体"/>
        </w:rPr>
        <w:t>平台设置防护栏杆，高</w:t>
      </w:r>
      <w:r>
        <w:rPr>
          <w:rFonts w:hAnsi="宋体"/>
        </w:rPr>
        <w:t>1.2m</w:t>
      </w:r>
      <w:r>
        <w:rPr>
          <w:rFonts w:hint="eastAsia" w:hAnsi="宋体"/>
        </w:rPr>
        <w:t>，镀锌方钢管立柱直接</w:t>
      </w:r>
      <w:r>
        <w:rPr>
          <w:rFonts w:hint="eastAsia" w:hAnsi="宋体"/>
          <w:szCs w:val="28"/>
        </w:rPr>
        <w:t>与平台面固定。</w:t>
      </w:r>
    </w:p>
    <w:p>
      <w:pPr>
        <w:pStyle w:val="4"/>
        <w:spacing w:before="40" w:after="40" w:line="500" w:lineRule="exact"/>
        <w:ind w:firstLine="472" w:firstLineChars="196"/>
        <w:rPr>
          <w:rFonts w:ascii="宋体" w:eastAsia="宋体"/>
          <w:kern w:val="0"/>
        </w:rPr>
      </w:pPr>
      <w:bookmarkStart w:id="39" w:name="_Toc353351872"/>
      <w:r>
        <w:rPr>
          <w:rFonts w:ascii="宋体" w:hAnsi="宋体"/>
          <w:b/>
        </w:rPr>
        <w:t>4.1.</w:t>
      </w:r>
      <w:r>
        <w:rPr>
          <w:rFonts w:hAnsi="宋体"/>
          <w:b/>
        </w:rPr>
        <w:t>5</w:t>
      </w:r>
      <w:r>
        <w:rPr>
          <w:rFonts w:hint="eastAsia" w:ascii="宋体" w:hAnsi="宋体"/>
          <w:kern w:val="0"/>
        </w:rPr>
        <w:t>生产准备</w:t>
      </w:r>
      <w:bookmarkEnd w:id="39"/>
    </w:p>
    <w:p>
      <w:pPr>
        <w:pStyle w:val="16"/>
        <w:numPr>
          <w:ilvl w:val="0"/>
          <w:numId w:val="0"/>
        </w:numPr>
        <w:tabs>
          <w:tab w:val="left" w:pos="4928"/>
        </w:tabs>
        <w:spacing w:line="500" w:lineRule="exact"/>
        <w:ind w:left="480" w:leftChars="0"/>
        <w:rPr>
          <w:rFonts w:hAnsi="宋体"/>
        </w:rPr>
      </w:pPr>
      <w:r>
        <w:rPr>
          <w:rFonts w:hint="eastAsia" w:hAnsi="宋体"/>
          <w:lang w:val="en-US" w:eastAsia="zh-CN"/>
        </w:rPr>
        <w:t>1）</w:t>
      </w:r>
      <w:r>
        <w:rPr>
          <w:rFonts w:hint="eastAsia" w:hAnsi="宋体"/>
        </w:rPr>
        <w:t>临时用电、临时用水的搭接、安装、调试。</w:t>
      </w:r>
    </w:p>
    <w:p>
      <w:pPr>
        <w:pStyle w:val="16"/>
        <w:numPr>
          <w:ilvl w:val="0"/>
          <w:numId w:val="0"/>
        </w:numPr>
        <w:tabs>
          <w:tab w:val="left" w:pos="4928"/>
        </w:tabs>
        <w:spacing w:line="500" w:lineRule="exact"/>
        <w:ind w:left="480" w:leftChars="0"/>
        <w:rPr>
          <w:rFonts w:hAnsi="宋体"/>
        </w:rPr>
      </w:pPr>
      <w:r>
        <w:rPr>
          <w:rFonts w:hint="eastAsia" w:hAnsi="宋体"/>
          <w:lang w:val="en-US" w:eastAsia="zh-CN"/>
        </w:rPr>
        <w:t>2）</w:t>
      </w:r>
      <w:r>
        <w:rPr>
          <w:rFonts w:hint="eastAsia" w:hAnsi="宋体"/>
        </w:rPr>
        <w:t>组织施工管理人员及劳动力调配入场，满足施工要求。</w:t>
      </w:r>
    </w:p>
    <w:p>
      <w:pPr>
        <w:spacing w:line="360" w:lineRule="auto"/>
        <w:outlineLvl w:val="1"/>
        <w:rPr>
          <w:rFonts w:ascii="宋体"/>
          <w:b/>
          <w:sz w:val="28"/>
          <w:szCs w:val="28"/>
        </w:rPr>
      </w:pPr>
      <w:bookmarkStart w:id="40" w:name="_Toc353351873"/>
      <w:r>
        <w:rPr>
          <w:rFonts w:ascii="宋体" w:hAnsi="宋体"/>
          <w:b/>
          <w:sz w:val="28"/>
          <w:szCs w:val="28"/>
        </w:rPr>
        <w:t>4.2</w:t>
      </w:r>
      <w:r>
        <w:rPr>
          <w:rFonts w:hint="eastAsia" w:ascii="宋体" w:hAnsi="宋体"/>
          <w:b/>
          <w:sz w:val="28"/>
          <w:szCs w:val="28"/>
        </w:rPr>
        <w:t>施工现场临时水、电布置方案</w:t>
      </w:r>
      <w:bookmarkEnd w:id="40"/>
    </w:p>
    <w:p>
      <w:pPr>
        <w:pStyle w:val="16"/>
        <w:tabs>
          <w:tab w:val="left" w:pos="4928"/>
        </w:tabs>
        <w:spacing w:line="500" w:lineRule="exact"/>
        <w:ind w:firstLine="354" w:firstLineChars="147"/>
      </w:pPr>
      <w:r>
        <w:rPr>
          <w:rFonts w:hAnsi="宋体"/>
          <w:b/>
        </w:rPr>
        <w:t>4.2.1</w:t>
      </w:r>
      <w:r>
        <w:rPr>
          <w:rFonts w:hint="eastAsia"/>
        </w:rPr>
        <w:t>临时用水管线布置</w:t>
      </w:r>
    </w:p>
    <w:p>
      <w:pPr>
        <w:pStyle w:val="62"/>
        <w:numPr>
          <w:ilvl w:val="0"/>
          <w:numId w:val="3"/>
        </w:numPr>
        <w:spacing w:line="500" w:lineRule="exact"/>
        <w:ind w:firstLineChars="0"/>
        <w:rPr>
          <w:rFonts w:ascii="宋体"/>
          <w:snapToGrid w:val="0"/>
          <w:kern w:val="0"/>
          <w:sz w:val="24"/>
        </w:rPr>
      </w:pPr>
      <w:r>
        <w:rPr>
          <w:rFonts w:hint="eastAsia" w:ascii="宋体" w:hAnsi="宋体"/>
          <w:snapToGrid w:val="0"/>
          <w:kern w:val="0"/>
          <w:sz w:val="24"/>
        </w:rPr>
        <w:t>由施工现场施工水源总接口接入，现场施工用水沿建筑物环向布置，在主要施工机械及加工棚附近设置若干水龙头，由支管引入。</w:t>
      </w:r>
    </w:p>
    <w:p>
      <w:pPr>
        <w:pStyle w:val="16"/>
        <w:numPr>
          <w:ilvl w:val="0"/>
          <w:numId w:val="0"/>
        </w:numPr>
        <w:tabs>
          <w:tab w:val="left" w:pos="4928"/>
        </w:tabs>
        <w:spacing w:line="500" w:lineRule="exact"/>
        <w:ind w:left="480" w:leftChars="0"/>
        <w:rPr>
          <w:rFonts w:hAnsi="宋体"/>
        </w:rPr>
      </w:pPr>
      <w:r>
        <w:rPr>
          <w:rFonts w:hint="eastAsia" w:hAnsi="宋体"/>
          <w:lang w:val="en-US" w:eastAsia="zh-CN"/>
        </w:rPr>
        <w:t>2）</w:t>
      </w:r>
      <w:r>
        <w:rPr>
          <w:rFonts w:hint="eastAsia" w:hAnsi="宋体"/>
        </w:rPr>
        <w:t>因本工程机械采用旋挖钻机施工，用水量较少，故施工现场业主提供的给水管接口已能满足施工及生活要求。</w:t>
      </w:r>
    </w:p>
    <w:p>
      <w:pPr>
        <w:spacing w:line="360" w:lineRule="auto"/>
        <w:ind w:firstLine="354" w:firstLineChars="147"/>
        <w:rPr>
          <w:rFonts w:ascii="宋体"/>
          <w:b/>
          <w:sz w:val="24"/>
        </w:rPr>
      </w:pPr>
      <w:r>
        <w:rPr>
          <w:rFonts w:ascii="宋体" w:hAnsi="宋体"/>
          <w:b/>
          <w:sz w:val="24"/>
        </w:rPr>
        <w:t>4.2.3</w:t>
      </w:r>
      <w:r>
        <w:rPr>
          <w:rFonts w:hint="eastAsia" w:ascii="宋体" w:hAnsi="宋体"/>
          <w:b/>
          <w:sz w:val="24"/>
        </w:rPr>
        <w:t>用电</w:t>
      </w:r>
    </w:p>
    <w:p>
      <w:pPr>
        <w:spacing w:line="500" w:lineRule="exact"/>
        <w:ind w:firstLine="480" w:firstLineChars="200"/>
        <w:rPr>
          <w:rFonts w:ascii="宋体"/>
          <w:snapToGrid w:val="0"/>
          <w:kern w:val="0"/>
          <w:sz w:val="24"/>
        </w:rPr>
      </w:pPr>
      <w:r>
        <w:rPr>
          <w:rFonts w:hint="eastAsia" w:ascii="宋体" w:hAnsi="宋体"/>
          <w:snapToGrid w:val="0"/>
          <w:color w:val="000000"/>
          <w:kern w:val="0"/>
          <w:sz w:val="24"/>
        </w:rPr>
        <w:t>施工电源从施工现场总配电箱接入，考虑施工现场实际情况及用电需求决定设置一个一级分配电箱。二级分配电箱分布在四周，其电</w:t>
      </w:r>
      <w:r>
        <w:rPr>
          <w:rFonts w:hint="eastAsia" w:ascii="宋体" w:hAnsi="宋体"/>
          <w:snapToGrid w:val="0"/>
          <w:kern w:val="0"/>
          <w:sz w:val="24"/>
        </w:rPr>
        <w:t>源线引自一级分配电箱。示意图如下：</w:t>
      </w:r>
    </w:p>
    <w:p>
      <w:pPr>
        <w:tabs>
          <w:tab w:val="left" w:pos="980"/>
        </w:tabs>
        <w:spacing w:line="360" w:lineRule="auto"/>
        <w:ind w:firstLine="210" w:firstLineChars="100"/>
        <w:rPr>
          <w:rFonts w:ascii="宋体"/>
          <w:snapToGrid w:val="0"/>
          <w:kern w:val="0"/>
          <w:sz w:val="28"/>
        </w:rPr>
      </w:pPr>
      <w:r>
        <w:pict>
          <v:group id="Group 7" o:spid="_x0000_s1030" o:spt="203" style="position:absolute;left:0pt;margin-left:17.85pt;margin-top:11.45pt;height:74.15pt;width:405.15pt;z-index:1024;mso-width-relative:page;mso-height-relative:page;" coordsize="8460,1539">
            <o:lock v:ext="edit"/>
            <v:shape id="Quad Arrow 8" o:spid="_x0000_s1031" o:spt="202" type="#_x0000_t202" style="position:absolute;left:717;top:0;height:624;width:1980;" o:preferrelative="t" stroked="t" coordsize="21600,21600">
              <v:path/>
              <v:fill focussize="0,0"/>
              <v:stroke color="#000080" miterlimit="2"/>
              <v:imagedata o:title=""/>
              <o:lock v:ext="edit"/>
              <v:textbox>
                <w:txbxContent>
                  <w:p>
                    <w:pPr>
                      <w:pStyle w:val="63"/>
                    </w:pPr>
                    <w:r>
                      <w:rPr>
                        <w:rFonts w:hint="eastAsia"/>
                      </w:rPr>
                      <w:t>总电源</w:t>
                    </w:r>
                  </w:p>
                </w:txbxContent>
              </v:textbox>
            </v:shape>
            <v:shape id="Quad Arrow 9" o:spid="_x0000_s1032" o:spt="202" type="#_x0000_t202" style="position:absolute;left:3240;top:0;height:624;width:1980;" o:preferrelative="t" stroked="t" coordsize="21600,21600">
              <v:path/>
              <v:fill focussize="0,0"/>
              <v:stroke color="#000080" miterlimit="2"/>
              <v:imagedata o:title=""/>
              <o:lock v:ext="edit"/>
              <v:textbox>
                <w:txbxContent>
                  <w:p>
                    <w:pPr>
                      <w:pStyle w:val="63"/>
                    </w:pPr>
                    <w:r>
                      <w:rPr>
                        <w:rFonts w:hint="eastAsia"/>
                      </w:rPr>
                      <w:t>总配电箱</w:t>
                    </w:r>
                  </w:p>
                </w:txbxContent>
              </v:textbox>
            </v:shape>
            <v:shape id="Quad Arrow 10" o:spid="_x0000_s1033" o:spt="202" type="#_x0000_t202" style="position:absolute;left:5760;top:0;height:624;width:2160;" o:preferrelative="t" stroked="t" coordsize="21600,21600">
              <v:path/>
              <v:fill focussize="0,0"/>
              <v:stroke color="#000080" miterlimit="2"/>
              <v:imagedata o:title=""/>
              <o:lock v:ext="edit"/>
              <v:textbox>
                <w:txbxContent>
                  <w:p>
                    <w:pPr>
                      <w:pStyle w:val="63"/>
                      <w:rPr>
                        <w:sz w:val="28"/>
                      </w:rPr>
                    </w:pPr>
                    <w:r>
                      <w:rPr>
                        <w:rFonts w:hint="eastAsia"/>
                      </w:rPr>
                      <w:t>一级分配电箱</w:t>
                    </w:r>
                  </w:p>
                </w:txbxContent>
              </v:textbox>
            </v:shape>
            <v:shape id="Quad Arrow 11" o:spid="_x0000_s1034" o:spt="202" type="#_x0000_t202" style="position:absolute;left:0;top:894;height:624;width:2340;" o:preferrelative="t" stroked="t" coordsize="21600,21600">
              <v:path/>
              <v:fill focussize="0,0"/>
              <v:stroke color="#000080" miterlimit="2"/>
              <v:imagedata o:title=""/>
              <o:lock v:ext="edit"/>
              <v:textbox>
                <w:txbxContent>
                  <w:p>
                    <w:pPr>
                      <w:pStyle w:val="63"/>
                      <w:rPr>
                        <w:sz w:val="28"/>
                      </w:rPr>
                    </w:pPr>
                    <w:r>
                      <w:rPr>
                        <w:rFonts w:hint="eastAsia"/>
                      </w:rPr>
                      <w:t>二级分配电箱</w:t>
                    </w:r>
                  </w:p>
                </w:txbxContent>
              </v:textbox>
            </v:shape>
            <v:shape id="Quad Arrow 12" o:spid="_x0000_s1035" o:spt="202" type="#_x0000_t202" style="position:absolute;left:2880;top:915;height:624;width:1980;" o:preferrelative="t" stroked="t" coordsize="21600,21600">
              <v:path/>
              <v:fill focussize="0,0"/>
              <v:stroke color="#000080" miterlimit="2"/>
              <v:imagedata o:title=""/>
              <o:lock v:ext="edit"/>
              <v:textbox>
                <w:txbxContent>
                  <w:p>
                    <w:pPr>
                      <w:pStyle w:val="63"/>
                    </w:pPr>
                    <w:r>
                      <w:rPr>
                        <w:rFonts w:hint="eastAsia"/>
                      </w:rPr>
                      <w:t>开关箱</w:t>
                    </w:r>
                  </w:p>
                </w:txbxContent>
              </v:textbox>
            </v:shape>
            <v:shape id="Quad Arrow 13" o:spid="_x0000_s1036" o:spt="202" type="#_x0000_t202" style="position:absolute;left:5400;top:915;height:624;width:1980;" o:preferrelative="t" stroked="t" coordsize="21600,21600">
              <v:path/>
              <v:fill focussize="0,0"/>
              <v:stroke color="#000080" miterlimit="2"/>
              <v:imagedata o:title=""/>
              <o:lock v:ext="edit"/>
              <v:textbox>
                <w:txbxContent>
                  <w:p>
                    <w:pPr>
                      <w:pStyle w:val="63"/>
                      <w:rPr>
                        <w:sz w:val="28"/>
                      </w:rPr>
                    </w:pPr>
                    <w:r>
                      <w:rPr>
                        <w:rFonts w:hint="eastAsia"/>
                      </w:rPr>
                      <w:t>用电机具</w:t>
                    </w:r>
                  </w:p>
                </w:txbxContent>
              </v:textbox>
            </v:shape>
            <v:line id="Line 14" o:spid="_x0000_s1037" o:spt="20" style="position:absolute;left:2700;top:312;height:0;width:540;" o:preferrelative="t" stroked="t" coordsize="21600,21600">
              <v:path arrowok="t"/>
              <v:fill focussize="0,0"/>
              <v:stroke color="#000080" miterlimit="2" endarrow="block"/>
              <v:imagedata o:title=""/>
              <o:lock v:ext="edit"/>
            </v:line>
            <v:line id="Line 15" o:spid="_x0000_s1038" o:spt="20" style="position:absolute;left:5220;top:312;height:0;width:540;" o:preferrelative="t" stroked="t" coordsize="21600,21600">
              <v:path arrowok="t"/>
              <v:fill focussize="0,0"/>
              <v:stroke color="#000080" miterlimit="2" endarrow="block"/>
              <v:imagedata o:title=""/>
              <o:lock v:ext="edit"/>
            </v:line>
            <v:line id="Line 16" o:spid="_x0000_s1039" o:spt="20" style="position:absolute;left:7920;top:312;height:0;width:540;" o:preferrelative="t" stroked="t" coordsize="21600,21600">
              <v:path arrowok="t"/>
              <v:fill focussize="0,0"/>
              <v:stroke color="#000080" miterlimit="2" endarrow="block"/>
              <v:imagedata o:title=""/>
              <o:lock v:ext="edit"/>
            </v:line>
            <v:line id="Line 17" o:spid="_x0000_s1040" o:spt="20" style="position:absolute;left:2340;top:1227;height:0;width:540;" o:preferrelative="t" stroked="t" coordsize="21600,21600">
              <v:path arrowok="t"/>
              <v:fill focussize="0,0"/>
              <v:stroke color="#000080" miterlimit="2" endarrow="block"/>
              <v:imagedata o:title=""/>
              <o:lock v:ext="edit"/>
            </v:line>
            <v:line id="Line 18" o:spid="_x0000_s1041" o:spt="20" style="position:absolute;left:4860;top:1227;height:0;width:540;" o:preferrelative="t" stroked="t" coordsize="21600,21600">
              <v:path arrowok="t"/>
              <v:fill focussize="0,0"/>
              <v:stroke color="#000080" miterlimit="2" endarrow="block"/>
              <v:imagedata o:title=""/>
              <o:lock v:ext="edit"/>
            </v:line>
          </v:group>
        </w:pict>
      </w:r>
      <w:r>
        <w:rPr>
          <w:rFonts w:ascii="宋体"/>
          <w:snapToGrid w:val="0"/>
          <w:kern w:val="0"/>
          <w:sz w:val="28"/>
        </w:rPr>
        <w:tab/>
      </w:r>
    </w:p>
    <w:p>
      <w:pPr>
        <w:spacing w:line="360" w:lineRule="auto"/>
        <w:ind w:firstLine="280" w:firstLineChars="100"/>
        <w:rPr>
          <w:rFonts w:ascii="宋体"/>
          <w:snapToGrid w:val="0"/>
          <w:kern w:val="0"/>
          <w:sz w:val="28"/>
        </w:rPr>
      </w:pPr>
    </w:p>
    <w:p>
      <w:pPr>
        <w:pStyle w:val="16"/>
        <w:tabs>
          <w:tab w:val="left" w:pos="4928"/>
        </w:tabs>
        <w:spacing w:line="500" w:lineRule="exact"/>
        <w:rPr>
          <w:rFonts w:hAnsi="宋体"/>
          <w:b/>
        </w:rPr>
      </w:pPr>
    </w:p>
    <w:p>
      <w:pPr>
        <w:spacing w:line="360" w:lineRule="auto"/>
        <w:outlineLvl w:val="2"/>
        <w:rPr>
          <w:rFonts w:ascii="宋体"/>
          <w:b/>
          <w:sz w:val="28"/>
          <w:szCs w:val="28"/>
        </w:rPr>
      </w:pPr>
      <w:bookmarkStart w:id="41" w:name="_Toc353351874"/>
      <w:r>
        <w:rPr>
          <w:rFonts w:ascii="宋体" w:hAnsi="宋体"/>
          <w:b/>
          <w:sz w:val="28"/>
          <w:szCs w:val="28"/>
        </w:rPr>
        <w:t>4.3</w:t>
      </w:r>
      <w:r>
        <w:rPr>
          <w:rFonts w:hint="eastAsia" w:ascii="宋体" w:hAnsi="宋体"/>
          <w:b/>
          <w:sz w:val="28"/>
          <w:szCs w:val="28"/>
        </w:rPr>
        <w:t>混凝土制备及供应方式</w:t>
      </w:r>
      <w:bookmarkEnd w:id="41"/>
    </w:p>
    <w:p>
      <w:pPr>
        <w:spacing w:line="360" w:lineRule="auto"/>
        <w:ind w:left="239" w:leftChars="114" w:firstLine="480" w:firstLineChars="200"/>
        <w:rPr>
          <w:rFonts w:ascii="宋体"/>
          <w:sz w:val="24"/>
        </w:rPr>
      </w:pPr>
      <w:r>
        <w:rPr>
          <w:rFonts w:hint="eastAsia" w:ascii="宋体" w:hAnsi="宋体"/>
          <w:sz w:val="24"/>
        </w:rPr>
        <w:t>混凝土由当地混凝土工厂负责供应，生产能力为</w:t>
      </w:r>
      <w:r>
        <w:rPr>
          <w:rFonts w:ascii="宋体" w:hAnsi="宋体"/>
          <w:sz w:val="24"/>
        </w:rPr>
        <w:t>2</w:t>
      </w:r>
      <w:r>
        <w:rPr>
          <w:rFonts w:hint="eastAsia" w:ascii="宋体" w:hAnsi="宋体"/>
          <w:sz w:val="24"/>
        </w:rPr>
        <w:t>×</w:t>
      </w:r>
      <w:r>
        <w:rPr>
          <w:rFonts w:ascii="宋体" w:hAnsi="宋体"/>
          <w:sz w:val="24"/>
        </w:rPr>
        <w:t>120m</w:t>
      </w:r>
      <w:r>
        <w:rPr>
          <w:rFonts w:ascii="宋体" w:hAnsi="宋体"/>
          <w:sz w:val="24"/>
          <w:vertAlign w:val="superscript"/>
        </w:rPr>
        <w:t>3</w:t>
      </w:r>
      <w:r>
        <w:rPr>
          <w:rFonts w:ascii="宋体" w:hAnsi="宋体"/>
          <w:sz w:val="24"/>
        </w:rPr>
        <w:t>/h</w:t>
      </w:r>
      <w:r>
        <w:rPr>
          <w:rFonts w:hint="eastAsia" w:ascii="宋体" w:hAnsi="宋体"/>
          <w:sz w:val="24"/>
        </w:rPr>
        <w:t>，在混凝土浇筑前在料仓内存有足够原材料确保每根钻机灌注混凝土不间断供应，满足施工要求。</w:t>
      </w:r>
    </w:p>
    <w:p>
      <w:pPr>
        <w:spacing w:line="360" w:lineRule="auto"/>
        <w:outlineLvl w:val="2"/>
        <w:rPr>
          <w:rFonts w:ascii="宋体"/>
          <w:b/>
          <w:sz w:val="28"/>
          <w:szCs w:val="28"/>
        </w:rPr>
      </w:pPr>
      <w:bookmarkStart w:id="42" w:name="_Toc353351875"/>
      <w:r>
        <w:rPr>
          <w:rFonts w:ascii="宋体" w:hAnsi="宋体"/>
          <w:b/>
          <w:sz w:val="28"/>
          <w:szCs w:val="28"/>
        </w:rPr>
        <w:t xml:space="preserve">4.4 </w:t>
      </w:r>
      <w:r>
        <w:rPr>
          <w:rFonts w:hint="eastAsia" w:ascii="宋体" w:hAnsi="宋体"/>
          <w:b/>
          <w:sz w:val="28"/>
          <w:szCs w:val="28"/>
        </w:rPr>
        <w:t>泥浆配备及泥浆循环系统</w:t>
      </w:r>
      <w:bookmarkEnd w:id="42"/>
    </w:p>
    <w:p>
      <w:pPr>
        <w:spacing w:line="360" w:lineRule="auto"/>
        <w:ind w:firstLine="482" w:firstLineChars="200"/>
        <w:outlineLvl w:val="2"/>
        <w:rPr>
          <w:rFonts w:ascii="宋体"/>
          <w:b/>
          <w:sz w:val="24"/>
        </w:rPr>
      </w:pPr>
      <w:bookmarkStart w:id="43" w:name="_Toc353351876"/>
      <w:r>
        <w:rPr>
          <w:rFonts w:ascii="宋体" w:hAnsi="宋体"/>
          <w:b/>
          <w:sz w:val="24"/>
        </w:rPr>
        <w:t>4.4.1</w:t>
      </w:r>
      <w:r>
        <w:rPr>
          <w:rFonts w:hint="eastAsia" w:ascii="宋体" w:hAnsi="宋体"/>
          <w:b/>
          <w:sz w:val="24"/>
        </w:rPr>
        <w:t>泥浆配备</w:t>
      </w:r>
      <w:bookmarkEnd w:id="43"/>
    </w:p>
    <w:p>
      <w:pPr>
        <w:spacing w:line="360" w:lineRule="auto"/>
        <w:ind w:firstLine="600" w:firstLineChars="250"/>
        <w:rPr>
          <w:rFonts w:ascii="宋体"/>
          <w:sz w:val="24"/>
        </w:rPr>
      </w:pPr>
      <w:r>
        <w:rPr>
          <w:rFonts w:ascii="宋体" w:hAnsi="宋体"/>
          <w:sz w:val="24"/>
        </w:rPr>
        <w:t>1</w:t>
      </w:r>
      <w:r>
        <w:rPr>
          <w:rFonts w:hint="eastAsia" w:ascii="宋体" w:hAnsi="宋体"/>
          <w:sz w:val="24"/>
        </w:rPr>
        <w:t>、泥浆原材料</w:t>
      </w:r>
    </w:p>
    <w:p>
      <w:pPr>
        <w:spacing w:line="360" w:lineRule="auto"/>
        <w:ind w:left="239" w:leftChars="114" w:firstLine="480" w:firstLineChars="200"/>
        <w:rPr>
          <w:rFonts w:ascii="宋体"/>
          <w:sz w:val="24"/>
        </w:rPr>
      </w:pPr>
      <w:r>
        <w:rPr>
          <w:rFonts w:hint="eastAsia" w:ascii="宋体" w:hAnsi="宋体"/>
          <w:sz w:val="24"/>
        </w:rPr>
        <w:t>钻孔泥浆选用不分散、低固相、高粘度的</w:t>
      </w:r>
      <w:r>
        <w:rPr>
          <w:rFonts w:ascii="宋体" w:hAnsi="宋体"/>
          <w:sz w:val="24"/>
        </w:rPr>
        <w:t>PHP</w:t>
      </w:r>
      <w:r>
        <w:rPr>
          <w:rFonts w:hint="eastAsia" w:ascii="宋体" w:hAnsi="宋体"/>
          <w:sz w:val="24"/>
        </w:rPr>
        <w:t>优质膨润土化学泥浆。泥浆由优质膨润土、碱（</w:t>
      </w:r>
      <w:r>
        <w:rPr>
          <w:rFonts w:ascii="宋体" w:hAnsi="宋体"/>
          <w:sz w:val="24"/>
        </w:rPr>
        <w:t>Na</w:t>
      </w:r>
      <w:r>
        <w:rPr>
          <w:rFonts w:ascii="宋体" w:hAnsi="宋体"/>
          <w:sz w:val="24"/>
          <w:vertAlign w:val="subscript"/>
        </w:rPr>
        <w:t>2</w:t>
      </w:r>
      <w:r>
        <w:rPr>
          <w:rFonts w:ascii="宋体" w:hAnsi="宋体"/>
          <w:sz w:val="24"/>
        </w:rPr>
        <w:t>CO</w:t>
      </w:r>
      <w:r>
        <w:rPr>
          <w:rFonts w:ascii="宋体" w:hAnsi="宋体"/>
          <w:sz w:val="24"/>
          <w:vertAlign w:val="subscript"/>
        </w:rPr>
        <w:t>3</w:t>
      </w:r>
      <w:r>
        <w:rPr>
          <w:rFonts w:hint="eastAsia" w:ascii="宋体" w:hAnsi="宋体"/>
          <w:sz w:val="24"/>
        </w:rPr>
        <w:t>）、羟甲基纤维素（</w:t>
      </w:r>
      <w:r>
        <w:rPr>
          <w:rFonts w:ascii="宋体" w:hAnsi="宋体"/>
          <w:sz w:val="24"/>
        </w:rPr>
        <w:t>CMC</w:t>
      </w:r>
      <w:r>
        <w:rPr>
          <w:rFonts w:hint="eastAsia" w:ascii="宋体" w:hAnsi="宋体"/>
          <w:sz w:val="24"/>
        </w:rPr>
        <w:t>）和聚丙烯酰胺（</w:t>
      </w:r>
      <w:r>
        <w:rPr>
          <w:rFonts w:ascii="宋体" w:hAnsi="宋体"/>
          <w:sz w:val="24"/>
        </w:rPr>
        <w:t>PHP</w:t>
      </w:r>
      <w:r>
        <w:rPr>
          <w:rFonts w:hint="eastAsia" w:ascii="宋体" w:hAnsi="宋体"/>
          <w:sz w:val="24"/>
        </w:rPr>
        <w:t>）等原料组成。</w:t>
      </w:r>
      <w:r>
        <w:rPr>
          <w:rFonts w:ascii="宋体" w:hAnsi="宋体"/>
          <w:sz w:val="24"/>
        </w:rPr>
        <w:t xml:space="preserve"> </w:t>
      </w:r>
    </w:p>
    <w:p>
      <w:pPr>
        <w:spacing w:line="360" w:lineRule="auto"/>
        <w:ind w:left="239" w:leftChars="114" w:firstLine="240" w:firstLineChars="100"/>
        <w:rPr>
          <w:rFonts w:ascii="宋体"/>
          <w:sz w:val="24"/>
        </w:rPr>
      </w:pPr>
      <w:r>
        <w:rPr>
          <w:rFonts w:hint="eastAsia" w:ascii="宋体" w:hAnsi="宋体"/>
          <w:sz w:val="24"/>
        </w:rPr>
        <w:t>（</w:t>
      </w:r>
      <w:r>
        <w:rPr>
          <w:rFonts w:ascii="宋体" w:hAnsi="宋体"/>
          <w:sz w:val="24"/>
        </w:rPr>
        <w:t>1</w:t>
      </w:r>
      <w:r>
        <w:rPr>
          <w:rFonts w:hint="eastAsia" w:ascii="宋体" w:hAnsi="宋体"/>
          <w:sz w:val="24"/>
        </w:rPr>
        <w:t>）膨润土</w:t>
      </w:r>
      <w:r>
        <w:rPr>
          <w:rFonts w:ascii="宋体" w:hAnsi="宋体"/>
          <w:sz w:val="24"/>
        </w:rPr>
        <w:t>:</w:t>
      </w:r>
      <w:r>
        <w:rPr>
          <w:rFonts w:hint="eastAsia" w:ascii="宋体" w:hAnsi="宋体"/>
          <w:sz w:val="24"/>
        </w:rPr>
        <w:t>为泥浆胶体质的主要来源，采用以蒙脱石为主的钠质膨润土或采聚合膨润土，不能错用铸造用的膨润土。</w:t>
      </w:r>
    </w:p>
    <w:p>
      <w:pPr>
        <w:spacing w:line="360" w:lineRule="auto"/>
        <w:ind w:left="239" w:leftChars="114" w:firstLine="240" w:firstLineChars="100"/>
        <w:rPr>
          <w:rFonts w:ascii="宋体"/>
          <w:sz w:val="24"/>
        </w:rPr>
      </w:pPr>
      <w:r>
        <w:rPr>
          <w:rFonts w:hint="eastAsia" w:ascii="宋体" w:hAnsi="宋体"/>
          <w:sz w:val="24"/>
        </w:rPr>
        <w:t>（</w:t>
      </w:r>
      <w:r>
        <w:rPr>
          <w:rFonts w:ascii="宋体" w:hAnsi="宋体"/>
          <w:sz w:val="24"/>
        </w:rPr>
        <w:t>2</w:t>
      </w:r>
      <w:r>
        <w:rPr>
          <w:rFonts w:hint="eastAsia" w:ascii="宋体" w:hAnsi="宋体"/>
          <w:sz w:val="24"/>
        </w:rPr>
        <w:t>）纯碱（</w:t>
      </w:r>
      <w:r>
        <w:rPr>
          <w:rFonts w:ascii="宋体" w:hAnsi="宋体"/>
          <w:sz w:val="24"/>
        </w:rPr>
        <w:t>Na</w:t>
      </w:r>
      <w:r>
        <w:rPr>
          <w:rFonts w:ascii="宋体" w:hAnsi="宋体"/>
          <w:sz w:val="24"/>
          <w:vertAlign w:val="subscript"/>
        </w:rPr>
        <w:t>2</w:t>
      </w:r>
      <w:r>
        <w:rPr>
          <w:rFonts w:ascii="宋体" w:hAnsi="宋体"/>
          <w:sz w:val="24"/>
        </w:rPr>
        <w:t>CO</w:t>
      </w:r>
      <w:r>
        <w:rPr>
          <w:rFonts w:ascii="宋体" w:hAnsi="宋体"/>
          <w:sz w:val="24"/>
          <w:vertAlign w:val="subscript"/>
        </w:rPr>
        <w:t>3</w:t>
      </w:r>
      <w:r>
        <w:rPr>
          <w:rFonts w:hint="eastAsia" w:ascii="宋体" w:hAnsi="宋体"/>
          <w:sz w:val="24"/>
        </w:rPr>
        <w:t>）</w:t>
      </w:r>
      <w:r>
        <w:rPr>
          <w:rFonts w:ascii="宋体" w:hAnsi="宋体"/>
          <w:sz w:val="24"/>
        </w:rPr>
        <w:t>:</w:t>
      </w:r>
      <w:r>
        <w:rPr>
          <w:rFonts w:hint="eastAsia" w:ascii="宋体" w:hAnsi="宋体"/>
          <w:sz w:val="24"/>
        </w:rPr>
        <w:t>主要作用是增大</w:t>
      </w:r>
      <w:r>
        <w:rPr>
          <w:rFonts w:ascii="宋体" w:hAnsi="宋体"/>
          <w:sz w:val="24"/>
        </w:rPr>
        <w:t>PH</w:t>
      </w:r>
      <w:r>
        <w:rPr>
          <w:rFonts w:hint="eastAsia" w:ascii="宋体" w:hAnsi="宋体"/>
          <w:sz w:val="24"/>
        </w:rPr>
        <w:t>值，使粘土颗粒进行分散，纯碱掺量为泥浆体积的</w:t>
      </w:r>
      <w:r>
        <w:rPr>
          <w:rFonts w:ascii="宋体" w:hAnsi="宋体"/>
          <w:sz w:val="24"/>
        </w:rPr>
        <w:t>0.3%</w:t>
      </w:r>
      <w:r>
        <w:rPr>
          <w:rFonts w:hint="eastAsia" w:ascii="宋体" w:hAnsi="宋体"/>
          <w:sz w:val="24"/>
        </w:rPr>
        <w:t>～</w:t>
      </w:r>
      <w:r>
        <w:rPr>
          <w:rFonts w:ascii="宋体" w:hAnsi="宋体"/>
          <w:sz w:val="24"/>
        </w:rPr>
        <w:t>0.5%</w:t>
      </w:r>
      <w:r>
        <w:rPr>
          <w:rFonts w:hint="eastAsia" w:ascii="宋体" w:hAnsi="宋体"/>
          <w:sz w:val="24"/>
        </w:rPr>
        <w:t>左右，碱用量应使泥浆</w:t>
      </w:r>
      <w:r>
        <w:rPr>
          <w:rFonts w:ascii="宋体" w:hAnsi="宋体"/>
          <w:sz w:val="24"/>
        </w:rPr>
        <w:t>PH</w:t>
      </w:r>
      <w:r>
        <w:rPr>
          <w:rFonts w:hint="eastAsia" w:ascii="宋体" w:hAnsi="宋体"/>
          <w:sz w:val="24"/>
        </w:rPr>
        <w:t>值达到</w:t>
      </w:r>
      <w:r>
        <w:rPr>
          <w:rFonts w:ascii="宋体" w:hAnsi="宋体"/>
          <w:sz w:val="24"/>
        </w:rPr>
        <w:t>10</w:t>
      </w:r>
      <w:r>
        <w:rPr>
          <w:rFonts w:hint="eastAsia" w:ascii="宋体" w:hAnsi="宋体"/>
          <w:sz w:val="24"/>
        </w:rPr>
        <w:t>～</w:t>
      </w:r>
      <w:r>
        <w:rPr>
          <w:rFonts w:ascii="宋体" w:hAnsi="宋体"/>
          <w:sz w:val="24"/>
        </w:rPr>
        <w:t>12</w:t>
      </w:r>
      <w:r>
        <w:rPr>
          <w:rFonts w:hint="eastAsia" w:ascii="宋体" w:hAnsi="宋体"/>
          <w:sz w:val="24"/>
        </w:rPr>
        <w:t>，然后再加入</w:t>
      </w:r>
      <w:r>
        <w:rPr>
          <w:rFonts w:ascii="宋体" w:hAnsi="宋体"/>
          <w:sz w:val="24"/>
        </w:rPr>
        <w:t>PHP</w:t>
      </w:r>
      <w:r>
        <w:rPr>
          <w:rFonts w:hint="eastAsia" w:ascii="宋体" w:hAnsi="宋体"/>
          <w:sz w:val="24"/>
        </w:rPr>
        <w:t>，以增大泥浆粘度。</w:t>
      </w:r>
    </w:p>
    <w:p>
      <w:pPr>
        <w:spacing w:line="360" w:lineRule="auto"/>
        <w:ind w:left="239" w:leftChars="114" w:firstLine="240" w:firstLineChars="100"/>
        <w:rPr>
          <w:rFonts w:ascii="宋体"/>
          <w:sz w:val="24"/>
        </w:rPr>
      </w:pPr>
      <w:r>
        <w:rPr>
          <w:rFonts w:hint="eastAsia" w:ascii="宋体" w:hAnsi="宋体"/>
          <w:sz w:val="24"/>
        </w:rPr>
        <w:t>（</w:t>
      </w:r>
      <w:r>
        <w:rPr>
          <w:rFonts w:ascii="宋体" w:hAnsi="宋体"/>
          <w:sz w:val="24"/>
        </w:rPr>
        <w:t>3</w:t>
      </w:r>
      <w:r>
        <w:rPr>
          <w:rFonts w:hint="eastAsia" w:ascii="宋体" w:hAnsi="宋体"/>
          <w:sz w:val="24"/>
        </w:rPr>
        <w:t>）羟甲基纤维素（</w:t>
      </w:r>
      <w:r>
        <w:rPr>
          <w:rFonts w:ascii="宋体" w:hAnsi="宋体"/>
          <w:sz w:val="24"/>
        </w:rPr>
        <w:t>CMC</w:t>
      </w:r>
      <w:r>
        <w:rPr>
          <w:rFonts w:hint="eastAsia" w:ascii="宋体" w:hAnsi="宋体"/>
          <w:sz w:val="24"/>
        </w:rPr>
        <w:t>）</w:t>
      </w:r>
      <w:r>
        <w:rPr>
          <w:rFonts w:ascii="宋体" w:hAnsi="宋体"/>
          <w:sz w:val="24"/>
        </w:rPr>
        <w:t>:</w:t>
      </w:r>
      <w:r>
        <w:rPr>
          <w:rFonts w:hint="eastAsia" w:ascii="宋体" w:hAnsi="宋体"/>
          <w:sz w:val="24"/>
        </w:rPr>
        <w:t>有使土壁表面形成化学膜泥皮和降低失水量的功能。它常作为膨润土基浆的改性剂，掺用量为泥浆体积的</w:t>
      </w:r>
      <w:r>
        <w:rPr>
          <w:rFonts w:ascii="宋体" w:hAnsi="宋体"/>
          <w:sz w:val="24"/>
        </w:rPr>
        <w:t>0.005%</w:t>
      </w:r>
      <w:r>
        <w:rPr>
          <w:rFonts w:hint="eastAsia" w:ascii="宋体" w:hAnsi="宋体"/>
          <w:sz w:val="24"/>
        </w:rPr>
        <w:t>～</w:t>
      </w:r>
      <w:r>
        <w:rPr>
          <w:rFonts w:ascii="宋体" w:hAnsi="宋体"/>
          <w:sz w:val="24"/>
        </w:rPr>
        <w:t>0.01%</w:t>
      </w:r>
      <w:r>
        <w:rPr>
          <w:rFonts w:hint="eastAsia" w:ascii="宋体" w:hAnsi="宋体"/>
          <w:sz w:val="24"/>
        </w:rPr>
        <w:t>。</w:t>
      </w:r>
    </w:p>
    <w:p>
      <w:pPr>
        <w:spacing w:line="360" w:lineRule="auto"/>
        <w:ind w:left="239" w:leftChars="114" w:firstLine="240" w:firstLineChars="100"/>
        <w:rPr>
          <w:rFonts w:ascii="宋体"/>
          <w:sz w:val="24"/>
        </w:rPr>
      </w:pPr>
      <w:r>
        <w:rPr>
          <w:rFonts w:hint="eastAsia" w:ascii="宋体" w:hAnsi="宋体"/>
          <w:sz w:val="24"/>
        </w:rPr>
        <w:t>（</w:t>
      </w:r>
      <w:r>
        <w:rPr>
          <w:rFonts w:ascii="宋体" w:hAnsi="宋体"/>
          <w:sz w:val="24"/>
        </w:rPr>
        <w:t>4</w:t>
      </w:r>
      <w:r>
        <w:rPr>
          <w:rFonts w:hint="eastAsia" w:ascii="宋体" w:hAnsi="宋体"/>
          <w:sz w:val="24"/>
        </w:rPr>
        <w:t>）聚丙烯酰胺（</w:t>
      </w:r>
      <w:r>
        <w:rPr>
          <w:rFonts w:ascii="宋体" w:hAnsi="宋体"/>
          <w:sz w:val="24"/>
        </w:rPr>
        <w:t>PHP</w:t>
      </w:r>
      <w:r>
        <w:rPr>
          <w:rFonts w:hint="eastAsia" w:ascii="宋体" w:hAnsi="宋体"/>
          <w:sz w:val="24"/>
        </w:rPr>
        <w:t>）</w:t>
      </w:r>
      <w:r>
        <w:rPr>
          <w:rFonts w:ascii="宋体" w:hAnsi="宋体"/>
          <w:sz w:val="24"/>
        </w:rPr>
        <w:t>:</w:t>
      </w:r>
      <w:r>
        <w:rPr>
          <w:rFonts w:hint="eastAsia" w:ascii="宋体" w:hAnsi="宋体"/>
          <w:sz w:val="24"/>
        </w:rPr>
        <w:t>其作用是提高泥浆的粘度，降低泥浆的失水量。其掺用量为泥浆体积的</w:t>
      </w:r>
      <w:r>
        <w:rPr>
          <w:rFonts w:ascii="宋体" w:hAnsi="宋体"/>
          <w:sz w:val="24"/>
        </w:rPr>
        <w:t>0.003%</w:t>
      </w:r>
      <w:r>
        <w:rPr>
          <w:rFonts w:hint="eastAsia" w:ascii="宋体" w:hAnsi="宋体"/>
          <w:sz w:val="24"/>
        </w:rPr>
        <w:t>左右。</w:t>
      </w:r>
    </w:p>
    <w:p>
      <w:pPr>
        <w:spacing w:line="360" w:lineRule="auto"/>
        <w:ind w:left="239" w:leftChars="114" w:firstLine="240" w:firstLineChars="100"/>
        <w:rPr>
          <w:rFonts w:ascii="宋体"/>
          <w:sz w:val="24"/>
        </w:rPr>
      </w:pPr>
      <w:r>
        <w:rPr>
          <w:rFonts w:hint="eastAsia" w:ascii="宋体" w:hAnsi="宋体"/>
          <w:sz w:val="24"/>
        </w:rPr>
        <w:t>（</w:t>
      </w:r>
      <w:r>
        <w:rPr>
          <w:rFonts w:ascii="宋体" w:hAnsi="宋体"/>
          <w:sz w:val="24"/>
        </w:rPr>
        <w:t>5</w:t>
      </w:r>
      <w:r>
        <w:rPr>
          <w:rFonts w:hint="eastAsia" w:ascii="宋体" w:hAnsi="宋体"/>
          <w:sz w:val="24"/>
        </w:rPr>
        <w:t>）制浆用水：地下水，水质满足要求。</w:t>
      </w:r>
    </w:p>
    <w:p>
      <w:pPr>
        <w:spacing w:line="360" w:lineRule="auto"/>
        <w:ind w:firstLine="480" w:firstLineChars="200"/>
        <w:rPr>
          <w:rFonts w:ascii="宋体"/>
          <w:sz w:val="24"/>
        </w:rPr>
      </w:pPr>
      <w:r>
        <w:rPr>
          <w:rFonts w:ascii="宋体" w:hAnsi="宋体"/>
          <w:sz w:val="24"/>
        </w:rPr>
        <w:t>2</w:t>
      </w:r>
      <w:r>
        <w:rPr>
          <w:rFonts w:hint="eastAsia" w:ascii="宋体" w:hAnsi="宋体"/>
          <w:sz w:val="24"/>
        </w:rPr>
        <w:t>、泥浆拌制</w:t>
      </w:r>
    </w:p>
    <w:p>
      <w:pPr>
        <w:spacing w:line="360" w:lineRule="auto"/>
        <w:ind w:firstLine="720" w:firstLineChars="300"/>
        <w:rPr>
          <w:rFonts w:ascii="宋体"/>
          <w:sz w:val="24"/>
        </w:rPr>
      </w:pPr>
      <w:r>
        <w:rPr>
          <w:rFonts w:hint="eastAsia" w:ascii="宋体" w:hAnsi="宋体"/>
          <w:sz w:val="24"/>
        </w:rPr>
        <w:t>（</w:t>
      </w:r>
      <w:r>
        <w:rPr>
          <w:rFonts w:ascii="宋体" w:hAnsi="宋体"/>
          <w:sz w:val="24"/>
        </w:rPr>
        <w:t>1)</w:t>
      </w:r>
      <w:r>
        <w:rPr>
          <w:rFonts w:hint="eastAsia" w:ascii="宋体" w:hAnsi="宋体"/>
          <w:sz w:val="24"/>
        </w:rPr>
        <w:t>制浆设备</w:t>
      </w:r>
    </w:p>
    <w:p>
      <w:pPr>
        <w:spacing w:line="360" w:lineRule="auto"/>
        <w:ind w:firstLine="720" w:firstLineChars="300"/>
        <w:rPr>
          <w:rFonts w:ascii="宋体"/>
          <w:sz w:val="24"/>
        </w:rPr>
      </w:pPr>
      <w:r>
        <w:rPr>
          <w:rFonts w:hint="eastAsia" w:ascii="宋体" w:hAnsi="宋体"/>
          <w:sz w:val="24"/>
        </w:rPr>
        <w:t>施工现场设置完善的制浆设备及配套建筑设施，其中包括：制浆原材料储存、堆放称场及棚盖；泥浆搅拌机及高压水流自循环拌制泥浆机；泥浆池；各种泥浆进出口管道、龙头、阀门。</w:t>
      </w:r>
    </w:p>
    <w:p>
      <w:pPr>
        <w:spacing w:line="360" w:lineRule="auto"/>
        <w:ind w:firstLine="720" w:firstLineChars="300"/>
        <w:rPr>
          <w:rFonts w:ascii="宋体"/>
          <w:sz w:val="24"/>
        </w:rPr>
      </w:pPr>
      <w:r>
        <w:rPr>
          <w:rFonts w:hint="eastAsia" w:ascii="宋体" w:hAnsi="宋体"/>
          <w:sz w:val="24"/>
        </w:rPr>
        <w:t>（</w:t>
      </w:r>
      <w:r>
        <w:rPr>
          <w:rFonts w:ascii="宋体" w:hAnsi="宋体"/>
          <w:sz w:val="24"/>
        </w:rPr>
        <w:t>2</w:t>
      </w:r>
      <w:r>
        <w:rPr>
          <w:rFonts w:hint="eastAsia" w:ascii="宋体" w:hAnsi="宋体"/>
          <w:sz w:val="24"/>
        </w:rPr>
        <w:t>）浆液的用途</w:t>
      </w:r>
    </w:p>
    <w:p>
      <w:pPr>
        <w:spacing w:line="360" w:lineRule="auto"/>
        <w:ind w:left="239" w:leftChars="114" w:firstLine="480" w:firstLineChars="200"/>
        <w:rPr>
          <w:rFonts w:ascii="宋体"/>
          <w:sz w:val="24"/>
        </w:rPr>
      </w:pPr>
      <w:r>
        <w:rPr>
          <w:rFonts w:hint="eastAsia" w:ascii="宋体" w:hAnsi="宋体"/>
          <w:sz w:val="24"/>
        </w:rPr>
        <w:t>浓基浆：用来制作高粘度</w:t>
      </w:r>
      <w:r>
        <w:rPr>
          <w:rFonts w:ascii="宋体" w:hAnsi="宋体"/>
          <w:sz w:val="24"/>
        </w:rPr>
        <w:t>PHP</w:t>
      </w:r>
      <w:r>
        <w:rPr>
          <w:rFonts w:hint="eastAsia" w:ascii="宋体" w:hAnsi="宋体"/>
          <w:sz w:val="24"/>
        </w:rPr>
        <w:t>新鲜泥浆。另外砂性土层钻进时采用浓基浆。</w:t>
      </w:r>
    </w:p>
    <w:p>
      <w:pPr>
        <w:spacing w:line="360" w:lineRule="auto"/>
        <w:ind w:left="239" w:leftChars="114" w:firstLine="480" w:firstLineChars="200"/>
        <w:rPr>
          <w:rFonts w:ascii="宋体"/>
          <w:sz w:val="24"/>
        </w:rPr>
      </w:pPr>
      <w:r>
        <w:rPr>
          <w:rFonts w:hint="eastAsia" w:ascii="宋体" w:hAnsi="宋体"/>
          <w:sz w:val="24"/>
        </w:rPr>
        <w:t>淡基浆：因粘土本身能造浆，故在粘性土层钻进时可采用淡基浆。通过浓基浆稀释后得到淡基浆。</w:t>
      </w:r>
    </w:p>
    <w:p>
      <w:pPr>
        <w:spacing w:line="360" w:lineRule="auto"/>
        <w:ind w:left="239" w:leftChars="114" w:firstLine="480" w:firstLineChars="200"/>
        <w:rPr>
          <w:rFonts w:ascii="宋体"/>
          <w:sz w:val="24"/>
        </w:rPr>
      </w:pPr>
      <w:r>
        <w:rPr>
          <w:rFonts w:hint="eastAsia" w:ascii="宋体" w:hAnsi="宋体"/>
          <w:sz w:val="24"/>
        </w:rPr>
        <w:t>浓鲜</w:t>
      </w:r>
      <w:r>
        <w:rPr>
          <w:rFonts w:ascii="宋体" w:hAnsi="宋体"/>
          <w:sz w:val="24"/>
        </w:rPr>
        <w:t>PHP</w:t>
      </w:r>
      <w:r>
        <w:rPr>
          <w:rFonts w:hint="eastAsia" w:ascii="宋体" w:hAnsi="宋体"/>
          <w:sz w:val="24"/>
        </w:rPr>
        <w:t>泥浆：在浓基浆中加入</w:t>
      </w:r>
      <w:r>
        <w:rPr>
          <w:rFonts w:ascii="宋体" w:hAnsi="宋体"/>
          <w:sz w:val="24"/>
        </w:rPr>
        <w:t>PHP</w:t>
      </w:r>
      <w:r>
        <w:rPr>
          <w:rFonts w:hint="eastAsia" w:ascii="宋体" w:hAnsi="宋体"/>
          <w:sz w:val="24"/>
        </w:rPr>
        <w:t>浓液后得到，常用在防止护筒底泥浆反穿、不稳定地层塌孔和砾砂层处泥浆漏失等紧急情况处理中。</w:t>
      </w:r>
    </w:p>
    <w:p>
      <w:pPr>
        <w:spacing w:line="360" w:lineRule="auto"/>
        <w:ind w:left="239" w:leftChars="114" w:firstLine="480" w:firstLineChars="200"/>
        <w:rPr>
          <w:rFonts w:ascii="宋体"/>
          <w:sz w:val="24"/>
        </w:rPr>
      </w:pPr>
      <w:r>
        <w:rPr>
          <w:rFonts w:hint="eastAsia" w:ascii="宋体" w:hAnsi="宋体"/>
          <w:sz w:val="24"/>
        </w:rPr>
        <w:t>淡鲜</w:t>
      </w:r>
      <w:r>
        <w:rPr>
          <w:rFonts w:ascii="宋体" w:hAnsi="宋体"/>
          <w:sz w:val="24"/>
        </w:rPr>
        <w:t>PHP</w:t>
      </w:r>
      <w:r>
        <w:rPr>
          <w:rFonts w:hint="eastAsia" w:ascii="宋体" w:hAnsi="宋体"/>
          <w:sz w:val="24"/>
        </w:rPr>
        <w:t>泥浆：一般用在清孔时的“换浆”中，通过浓鲜</w:t>
      </w:r>
      <w:r>
        <w:rPr>
          <w:rFonts w:ascii="宋体" w:hAnsi="宋体"/>
          <w:sz w:val="24"/>
        </w:rPr>
        <w:t>PHP</w:t>
      </w:r>
      <w:r>
        <w:rPr>
          <w:rFonts w:hint="eastAsia" w:ascii="宋体" w:hAnsi="宋体"/>
          <w:sz w:val="24"/>
        </w:rPr>
        <w:t>泥浆稀释后得到淡鲜泥浆。</w:t>
      </w:r>
    </w:p>
    <w:p>
      <w:pPr>
        <w:spacing w:line="360" w:lineRule="auto"/>
        <w:ind w:firstLine="482" w:firstLineChars="200"/>
        <w:outlineLvl w:val="2"/>
        <w:rPr>
          <w:rFonts w:ascii="宋体"/>
          <w:b/>
          <w:sz w:val="24"/>
        </w:rPr>
      </w:pPr>
      <w:bookmarkStart w:id="44" w:name="_Toc353351877"/>
      <w:r>
        <w:rPr>
          <w:rFonts w:ascii="宋体" w:hAnsi="宋体"/>
          <w:b/>
          <w:sz w:val="24"/>
        </w:rPr>
        <w:t>4.4.2</w:t>
      </w:r>
      <w:r>
        <w:rPr>
          <w:rFonts w:hint="eastAsia" w:ascii="宋体" w:hAnsi="宋体"/>
          <w:b/>
          <w:sz w:val="24"/>
        </w:rPr>
        <w:t>泥浆循环、净化系统的布置</w:t>
      </w:r>
      <w:bookmarkEnd w:id="44"/>
    </w:p>
    <w:p>
      <w:pPr>
        <w:spacing w:line="360" w:lineRule="auto"/>
        <w:ind w:firstLine="720" w:firstLineChars="300"/>
        <w:rPr>
          <w:rFonts w:ascii="宋体"/>
          <w:sz w:val="24"/>
        </w:rPr>
      </w:pPr>
      <w:r>
        <w:rPr>
          <w:rFonts w:ascii="宋体" w:hAnsi="宋体"/>
          <w:sz w:val="24"/>
        </w:rPr>
        <w:t>1</w:t>
      </w:r>
      <w:r>
        <w:rPr>
          <w:rFonts w:hint="eastAsia" w:ascii="宋体" w:hAnsi="宋体"/>
          <w:sz w:val="24"/>
        </w:rPr>
        <w:t>、钻孔泥浆系统布置</w:t>
      </w:r>
    </w:p>
    <w:p>
      <w:pPr>
        <w:spacing w:line="360" w:lineRule="auto"/>
        <w:ind w:firstLine="720" w:firstLineChars="300"/>
        <w:rPr>
          <w:rFonts w:ascii="宋体"/>
          <w:sz w:val="24"/>
        </w:rPr>
      </w:pPr>
      <w:r>
        <w:rPr>
          <w:rFonts w:hint="eastAsia" w:ascii="宋体" w:hAnsi="宋体"/>
          <w:sz w:val="24"/>
        </w:rPr>
        <w:t>钻孔泥浆采用集中拌制、集中供应、集中净化的方式进行。</w:t>
      </w:r>
    </w:p>
    <w:p>
      <w:pPr>
        <w:spacing w:line="360" w:lineRule="auto"/>
        <w:ind w:firstLine="720" w:firstLineChars="300"/>
        <w:rPr>
          <w:rFonts w:ascii="宋体"/>
          <w:sz w:val="24"/>
        </w:rPr>
      </w:pPr>
      <w:r>
        <w:rPr>
          <w:rFonts w:ascii="宋体" w:hAnsi="宋体"/>
          <w:sz w:val="24"/>
        </w:rPr>
        <w:t>2</w:t>
      </w:r>
      <w:r>
        <w:rPr>
          <w:rFonts w:hint="eastAsia" w:ascii="宋体" w:hAnsi="宋体"/>
          <w:sz w:val="24"/>
        </w:rPr>
        <w:t>、泥浆制备及供应</w:t>
      </w:r>
    </w:p>
    <w:p>
      <w:pPr>
        <w:spacing w:line="360" w:lineRule="auto"/>
        <w:ind w:left="239" w:leftChars="114" w:firstLine="480" w:firstLineChars="200"/>
        <w:rPr>
          <w:rFonts w:ascii="宋体"/>
          <w:sz w:val="24"/>
        </w:rPr>
      </w:pPr>
      <w:r>
        <w:rPr>
          <w:rFonts w:hint="eastAsia" w:ascii="宋体" w:hAnsi="宋体"/>
          <w:sz w:val="24"/>
        </w:rPr>
        <w:t>泥浆制备系统设生产区场地内，设置</w:t>
      </w:r>
      <w:r>
        <w:rPr>
          <w:rFonts w:ascii="宋体" w:hAnsi="宋体"/>
          <w:sz w:val="24"/>
        </w:rPr>
        <w:t>2m</w:t>
      </w:r>
      <w:r>
        <w:rPr>
          <w:rFonts w:ascii="宋体" w:hAnsi="宋体"/>
          <w:sz w:val="24"/>
          <w:vertAlign w:val="superscript"/>
        </w:rPr>
        <w:t>3</w:t>
      </w:r>
      <w:r>
        <w:rPr>
          <w:rFonts w:hint="eastAsia" w:ascii="宋体" w:hAnsi="宋体"/>
          <w:sz w:val="24"/>
        </w:rPr>
        <w:t>搅拌机</w:t>
      </w:r>
      <w:r>
        <w:rPr>
          <w:rFonts w:hint="eastAsia" w:ascii="宋体" w:hAnsi="宋体"/>
          <w:sz w:val="24"/>
          <w:lang w:val="en-US" w:eastAsia="zh-CN"/>
        </w:rPr>
        <w:t>6</w:t>
      </w:r>
      <w:r>
        <w:rPr>
          <w:rFonts w:hint="eastAsia" w:ascii="宋体" w:hAnsi="宋体"/>
          <w:sz w:val="24"/>
        </w:rPr>
        <w:t>台。泥浆搅拌好后，储存于制浆池内待用。泥浆池设置</w:t>
      </w:r>
      <w:r>
        <w:rPr>
          <w:rFonts w:ascii="宋体" w:hAnsi="宋体"/>
          <w:sz w:val="24"/>
        </w:rPr>
        <w:t>3PN</w:t>
      </w:r>
      <w:r>
        <w:rPr>
          <w:rFonts w:hint="eastAsia" w:ascii="宋体" w:hAnsi="宋体"/>
          <w:sz w:val="24"/>
        </w:rPr>
        <w:t>泥浆泵一台，泵送至储浆池内后泵送至各需用点。泥浆池总容量为</w:t>
      </w:r>
      <w:r>
        <w:rPr>
          <w:rFonts w:ascii="宋体" w:hAnsi="宋体"/>
          <w:sz w:val="24"/>
        </w:rPr>
        <w:t>2100m</w:t>
      </w:r>
      <w:r>
        <w:rPr>
          <w:rFonts w:ascii="宋体" w:hAnsi="宋体"/>
          <w:sz w:val="24"/>
          <w:vertAlign w:val="superscript"/>
        </w:rPr>
        <w:t>3</w:t>
      </w:r>
      <w:r>
        <w:rPr>
          <w:rFonts w:hint="eastAsia" w:ascii="宋体" w:hAnsi="宋体"/>
          <w:sz w:val="24"/>
        </w:rPr>
        <w:t>，设为</w:t>
      </w:r>
      <w:r>
        <w:rPr>
          <w:rFonts w:ascii="宋体" w:hAnsi="宋体"/>
          <w:sz w:val="24"/>
        </w:rPr>
        <w:t>4</w:t>
      </w:r>
      <w:r>
        <w:rPr>
          <w:rFonts w:hint="eastAsia" w:ascii="宋体" w:hAnsi="宋体"/>
          <w:sz w:val="24"/>
        </w:rPr>
        <w:t>个隔舱，分别为制浆池、储浆池、</w:t>
      </w:r>
      <w:r>
        <w:rPr>
          <w:rFonts w:ascii="宋体" w:hAnsi="宋体"/>
          <w:sz w:val="24"/>
        </w:rPr>
        <w:t>1#</w:t>
      </w:r>
      <w:r>
        <w:rPr>
          <w:rFonts w:hint="eastAsia" w:ascii="宋体" w:hAnsi="宋体"/>
          <w:sz w:val="24"/>
        </w:rPr>
        <w:t>回浆池、</w:t>
      </w:r>
      <w:r>
        <w:rPr>
          <w:rFonts w:ascii="宋体" w:hAnsi="宋体"/>
          <w:sz w:val="24"/>
        </w:rPr>
        <w:t>2#</w:t>
      </w:r>
      <w:r>
        <w:rPr>
          <w:rFonts w:hint="eastAsia" w:ascii="宋体" w:hAnsi="宋体"/>
          <w:sz w:val="24"/>
        </w:rPr>
        <w:t>回浆池。</w:t>
      </w:r>
    </w:p>
    <w:p>
      <w:pPr>
        <w:spacing w:line="360" w:lineRule="auto"/>
        <w:ind w:left="239" w:leftChars="114" w:firstLine="240" w:firstLineChars="100"/>
        <w:rPr>
          <w:rFonts w:ascii="宋体"/>
          <w:sz w:val="24"/>
        </w:rPr>
      </w:pPr>
      <w:r>
        <w:rPr>
          <w:rFonts w:hint="eastAsia" w:ascii="宋体" w:hAnsi="宋体"/>
          <w:sz w:val="24"/>
        </w:rPr>
        <w:t>（</w:t>
      </w:r>
      <w:r>
        <w:rPr>
          <w:rFonts w:ascii="宋体" w:hAnsi="宋体"/>
          <w:sz w:val="24"/>
        </w:rPr>
        <w:t>1</w:t>
      </w:r>
      <w:r>
        <w:rPr>
          <w:rFonts w:hint="eastAsia" w:ascii="宋体" w:hAnsi="宋体"/>
          <w:sz w:val="24"/>
        </w:rPr>
        <w:t>）制浆池用于储存优质新制泥浆，与其他隔舱不联通，储浆池、</w:t>
      </w:r>
      <w:r>
        <w:rPr>
          <w:rFonts w:ascii="宋体" w:hAnsi="宋体"/>
          <w:sz w:val="24"/>
        </w:rPr>
        <w:t>1#</w:t>
      </w:r>
      <w:r>
        <w:rPr>
          <w:rFonts w:hint="eastAsia" w:ascii="宋体" w:hAnsi="宋体"/>
          <w:sz w:val="24"/>
        </w:rPr>
        <w:t>回浆池、二</w:t>
      </w:r>
      <w:r>
        <w:rPr>
          <w:rFonts w:ascii="宋体" w:hAnsi="宋体"/>
          <w:sz w:val="24"/>
        </w:rPr>
        <w:t>#</w:t>
      </w:r>
      <w:r>
        <w:rPr>
          <w:rFonts w:hint="eastAsia" w:ascii="宋体" w:hAnsi="宋体"/>
          <w:sz w:val="24"/>
        </w:rPr>
        <w:t>回浆池在隔墙上开槽口串联。</w:t>
      </w:r>
    </w:p>
    <w:p>
      <w:pPr>
        <w:spacing w:line="360" w:lineRule="auto"/>
        <w:ind w:left="239" w:leftChars="114" w:firstLine="240" w:firstLineChars="100"/>
        <w:rPr>
          <w:rFonts w:ascii="宋体"/>
          <w:sz w:val="24"/>
        </w:rPr>
      </w:pPr>
      <w:r>
        <w:rPr>
          <w:rFonts w:hint="eastAsia" w:ascii="宋体" w:hAnsi="宋体"/>
          <w:sz w:val="24"/>
        </w:rPr>
        <w:t>（</w:t>
      </w:r>
      <w:r>
        <w:rPr>
          <w:rFonts w:ascii="宋体" w:hAnsi="宋体"/>
          <w:sz w:val="24"/>
        </w:rPr>
        <w:t>2</w:t>
      </w:r>
      <w:r>
        <w:rPr>
          <w:rFonts w:hint="eastAsia" w:ascii="宋体" w:hAnsi="宋体"/>
          <w:sz w:val="24"/>
        </w:rPr>
        <w:t>）补浆管用两条线路</w:t>
      </w:r>
      <w:r>
        <w:rPr>
          <w:rFonts w:ascii="宋体" w:hAnsi="宋体"/>
          <w:sz w:val="24"/>
        </w:rPr>
        <w:t>DN150</w:t>
      </w:r>
      <w:r>
        <w:rPr>
          <w:rFonts w:hint="eastAsia" w:ascii="宋体" w:hAnsi="宋体"/>
          <w:sz w:val="24"/>
        </w:rPr>
        <w:t>钢管延伸到钻孔平台项，布置于龙门吊机轨道内侧，在与孔位处预留阀门接口，需要补浆时用软管接长延伸到孔位处实施补浆作业，在灌孔过程中，其中一条管线用作回浆管路。</w:t>
      </w:r>
    </w:p>
    <w:p>
      <w:pPr>
        <w:spacing w:line="360" w:lineRule="auto"/>
        <w:ind w:left="239" w:leftChars="114" w:firstLine="240" w:firstLineChars="100"/>
        <w:rPr>
          <w:rFonts w:ascii="宋体"/>
          <w:sz w:val="24"/>
        </w:rPr>
      </w:pPr>
      <w:r>
        <w:rPr>
          <w:rFonts w:hint="eastAsia" w:ascii="宋体" w:hAnsi="宋体"/>
          <w:sz w:val="24"/>
        </w:rPr>
        <w:t>（</w:t>
      </w:r>
      <w:r>
        <w:rPr>
          <w:rFonts w:ascii="宋体" w:hAnsi="宋体"/>
          <w:sz w:val="24"/>
        </w:rPr>
        <w:t>3</w:t>
      </w:r>
      <w:r>
        <w:rPr>
          <w:rFonts w:hint="eastAsia" w:ascii="宋体" w:hAnsi="宋体"/>
          <w:sz w:val="24"/>
        </w:rPr>
        <w:t>）在钻孔施工过程中泥浆的净化采用机械强制净化。</w:t>
      </w:r>
      <w:r>
        <w:rPr>
          <w:rFonts w:hint="eastAsia" w:ascii="宋体" w:hAnsi="宋体"/>
          <w:sz w:val="24"/>
          <w:lang w:val="en-US" w:eastAsia="zh-CN"/>
        </w:rPr>
        <w:t>2</w:t>
      </w:r>
      <w:r>
        <w:rPr>
          <w:rFonts w:hint="eastAsia" w:ascii="宋体" w:hAnsi="宋体"/>
          <w:sz w:val="24"/>
        </w:rPr>
        <w:t>台钻机配</w:t>
      </w:r>
      <w:r>
        <w:rPr>
          <w:rFonts w:ascii="宋体" w:hAnsi="宋体"/>
          <w:sz w:val="24"/>
        </w:rPr>
        <w:t>1</w:t>
      </w:r>
      <w:r>
        <w:rPr>
          <w:rFonts w:hint="eastAsia" w:ascii="宋体" w:hAnsi="宋体"/>
          <w:sz w:val="24"/>
        </w:rPr>
        <w:t>台泥浆分离器及</w:t>
      </w:r>
      <w:r>
        <w:rPr>
          <w:rFonts w:ascii="宋体" w:hAnsi="宋体"/>
          <w:sz w:val="24"/>
        </w:rPr>
        <w:t>2</w:t>
      </w:r>
      <w:r>
        <w:rPr>
          <w:rFonts w:hint="eastAsia" w:ascii="宋体" w:hAnsi="宋体"/>
          <w:sz w:val="24"/>
        </w:rPr>
        <w:t>个沉渣桶，平台上共布置</w:t>
      </w:r>
      <w:r>
        <w:rPr>
          <w:rFonts w:hint="eastAsia" w:ascii="宋体" w:hAnsi="宋体"/>
          <w:sz w:val="24"/>
          <w:lang w:val="en-US" w:eastAsia="zh-CN"/>
        </w:rPr>
        <w:t>3</w:t>
      </w:r>
      <w:r>
        <w:rPr>
          <w:rFonts w:hint="eastAsia" w:ascii="宋体" w:hAnsi="宋体"/>
          <w:sz w:val="24"/>
        </w:rPr>
        <w:t>台泥浆分离器和</w:t>
      </w:r>
      <w:r>
        <w:rPr>
          <w:rFonts w:hint="eastAsia" w:ascii="宋体" w:hAnsi="宋体"/>
          <w:sz w:val="24"/>
          <w:lang w:val="en-US" w:eastAsia="zh-CN"/>
        </w:rPr>
        <w:t>6</w:t>
      </w:r>
      <w:r>
        <w:rPr>
          <w:rFonts w:hint="eastAsia" w:ascii="宋体" w:hAnsi="宋体"/>
          <w:sz w:val="24"/>
        </w:rPr>
        <w:t>个沉渣桶。</w:t>
      </w:r>
    </w:p>
    <w:p>
      <w:pPr>
        <w:spacing w:line="360" w:lineRule="auto"/>
        <w:outlineLvl w:val="1"/>
        <w:rPr>
          <w:rFonts w:ascii="宋体"/>
          <w:b/>
          <w:sz w:val="28"/>
          <w:szCs w:val="28"/>
        </w:rPr>
      </w:pPr>
      <w:bookmarkStart w:id="45" w:name="_Toc353351878"/>
      <w:bookmarkStart w:id="46" w:name="_Toc350517635"/>
      <w:r>
        <w:rPr>
          <w:rFonts w:ascii="宋体" w:hAnsi="宋体"/>
          <w:b/>
          <w:sz w:val="28"/>
          <w:szCs w:val="28"/>
        </w:rPr>
        <w:t>4.5</w:t>
      </w:r>
      <w:r>
        <w:rPr>
          <w:rFonts w:hint="eastAsia" w:ascii="宋体" w:hAnsi="宋体"/>
          <w:b/>
          <w:sz w:val="28"/>
          <w:szCs w:val="28"/>
        </w:rPr>
        <w:t>钢护筒施工</w:t>
      </w:r>
      <w:bookmarkEnd w:id="45"/>
      <w:bookmarkEnd w:id="46"/>
    </w:p>
    <w:p>
      <w:pPr>
        <w:spacing w:line="360" w:lineRule="auto"/>
        <w:ind w:firstLine="354" w:firstLineChars="147"/>
        <w:outlineLvl w:val="2"/>
        <w:rPr>
          <w:rFonts w:ascii="宋体"/>
          <w:sz w:val="24"/>
        </w:rPr>
      </w:pPr>
      <w:bookmarkStart w:id="47" w:name="_Toc353351879"/>
      <w:r>
        <w:rPr>
          <w:rFonts w:ascii="宋体" w:hAnsi="宋体"/>
          <w:b/>
          <w:sz w:val="24"/>
        </w:rPr>
        <w:t>4.5.1</w:t>
      </w:r>
      <w:r>
        <w:rPr>
          <w:rFonts w:hint="eastAsia" w:ascii="宋体" w:hAnsi="宋体"/>
          <w:b/>
          <w:sz w:val="24"/>
        </w:rPr>
        <w:t>施工测量</w:t>
      </w:r>
      <w:bookmarkEnd w:id="47"/>
    </w:p>
    <w:p>
      <w:pPr>
        <w:spacing w:line="360" w:lineRule="auto"/>
        <w:ind w:firstLine="480" w:firstLineChars="200"/>
        <w:rPr>
          <w:sz w:val="24"/>
        </w:rPr>
      </w:pPr>
      <w:r>
        <w:rPr>
          <w:rFonts w:hint="eastAsia"/>
          <w:sz w:val="24"/>
        </w:rPr>
        <w:t>用全站仪坐标放样法来确定桩位。在平台上设置水准点，采用三角高程或其他方式测出水准点的高程。施工中按正常的水准测量，利用水准仪传递高程。需注意应对平台上设置的水准点持续进行沉降观测，以便更好的控制施工。</w:t>
      </w:r>
    </w:p>
    <w:p>
      <w:pPr>
        <w:spacing w:line="360" w:lineRule="auto"/>
        <w:ind w:firstLine="480" w:firstLineChars="200"/>
        <w:rPr>
          <w:sz w:val="24"/>
        </w:rPr>
      </w:pPr>
      <w:r>
        <w:rPr>
          <w:rFonts w:hint="eastAsia"/>
          <w:sz w:val="24"/>
        </w:rPr>
        <w:t>钢护筒定位：施工过程中钢护筒的点位垂直度保持在设计允许偏差范围内，在钢护筒插打前根据坐标法并以此进行定位，在平台承受竖向荷载变形后应立即进行位置复核，水平偏位及架体倾斜都必须加以调整。在护筒下沉过程中由二台经纬仪前方交汇控制其倾斜度不大于</w:t>
      </w:r>
      <w:r>
        <w:rPr>
          <w:sz w:val="24"/>
        </w:rPr>
        <w:t>1/200</w:t>
      </w:r>
      <w:r>
        <w:rPr>
          <w:rFonts w:hint="eastAsia"/>
          <w:sz w:val="24"/>
        </w:rPr>
        <w:t>，同时校核护筒平面位置。</w:t>
      </w:r>
    </w:p>
    <w:p>
      <w:pPr>
        <w:spacing w:line="360" w:lineRule="auto"/>
        <w:ind w:firstLine="480" w:firstLineChars="200"/>
        <w:rPr>
          <w:sz w:val="24"/>
        </w:rPr>
      </w:pPr>
      <w:r>
        <w:rPr>
          <w:rFonts w:hint="eastAsia"/>
          <w:sz w:val="24"/>
        </w:rPr>
        <w:t>钢护筒埋设到位后，利用全站仪测量护筒中心坐标，并与设计坐标比较以确定桩位偏差，单根护筒顶面位置允许偏差</w:t>
      </w:r>
      <w:r>
        <w:rPr>
          <w:sz w:val="24"/>
        </w:rPr>
        <w:t>50mm</w:t>
      </w:r>
      <w:r>
        <w:rPr>
          <w:rFonts w:hint="eastAsia"/>
          <w:sz w:val="24"/>
        </w:rPr>
        <w:t>；利用水准仪测量护筒顶标高，推算出护筒底标高，底标高允许偏差±</w:t>
      </w:r>
      <w:r>
        <w:rPr>
          <w:sz w:val="24"/>
        </w:rPr>
        <w:t>50mm</w:t>
      </w:r>
      <w:r>
        <w:rPr>
          <w:rFonts w:hint="eastAsia"/>
          <w:sz w:val="24"/>
        </w:rPr>
        <w:t>。</w:t>
      </w:r>
      <w:bookmarkStart w:id="48" w:name="_Toc133491992"/>
      <w:r>
        <w:rPr>
          <w:rFonts w:hint="eastAsia"/>
          <w:sz w:val="24"/>
        </w:rPr>
        <w:t>施工测量按有关要求执行，且需有两人及两人以上相互校核并作测量记录</w:t>
      </w:r>
      <w:bookmarkEnd w:id="48"/>
      <w:r>
        <w:rPr>
          <w:rFonts w:hint="eastAsia"/>
          <w:sz w:val="24"/>
        </w:rPr>
        <w:t>。</w:t>
      </w:r>
    </w:p>
    <w:p>
      <w:pPr>
        <w:spacing w:line="360" w:lineRule="auto"/>
        <w:ind w:firstLine="354" w:firstLineChars="147"/>
        <w:outlineLvl w:val="2"/>
        <w:rPr>
          <w:rFonts w:ascii="宋体"/>
          <w:b/>
          <w:sz w:val="24"/>
        </w:rPr>
      </w:pPr>
      <w:bookmarkStart w:id="49" w:name="_Toc353351880"/>
      <w:r>
        <w:rPr>
          <w:rFonts w:ascii="宋体" w:hAnsi="宋体"/>
          <w:b/>
          <w:sz w:val="24"/>
        </w:rPr>
        <w:t>4.5.2</w:t>
      </w:r>
      <w:r>
        <w:rPr>
          <w:rFonts w:hint="eastAsia" w:ascii="宋体" w:hAnsi="宋体"/>
          <w:b/>
          <w:sz w:val="24"/>
        </w:rPr>
        <w:t>钢护筒埋设施工</w:t>
      </w:r>
      <w:bookmarkEnd w:id="49"/>
    </w:p>
    <w:p>
      <w:pPr>
        <w:spacing w:line="360" w:lineRule="auto"/>
        <w:ind w:firstLine="480" w:firstLineChars="200"/>
        <w:rPr>
          <w:rFonts w:ascii="宋体"/>
          <w:sz w:val="24"/>
        </w:rPr>
      </w:pPr>
      <w:r>
        <w:rPr>
          <w:rFonts w:ascii="宋体" w:hAnsi="宋体"/>
          <w:sz w:val="24"/>
        </w:rPr>
        <w:t>1</w:t>
      </w:r>
      <w:r>
        <w:rPr>
          <w:rFonts w:hint="eastAsia" w:ascii="宋体" w:hAnsi="宋体"/>
          <w:sz w:val="24"/>
        </w:rPr>
        <w:t>、钢护筒概况</w:t>
      </w:r>
    </w:p>
    <w:p>
      <w:pPr>
        <w:spacing w:line="360" w:lineRule="auto"/>
        <w:ind w:firstLine="480" w:firstLineChars="200"/>
        <w:rPr>
          <w:rFonts w:ascii="宋体"/>
          <w:sz w:val="24"/>
        </w:rPr>
      </w:pPr>
      <w:r>
        <w:rPr>
          <w:rFonts w:hint="eastAsia" w:ascii="宋体" w:hAnsi="宋体"/>
          <w:sz w:val="24"/>
        </w:rPr>
        <w:t>钢护筒采用外径</w:t>
      </w:r>
      <w:r>
        <w:rPr>
          <w:rFonts w:ascii="宋体" w:hAnsi="宋体"/>
          <w:sz w:val="24"/>
        </w:rPr>
        <w:t>1m</w:t>
      </w:r>
      <w:r>
        <w:rPr>
          <w:rFonts w:hint="eastAsia" w:ascii="宋体" w:hAnsi="宋体"/>
          <w:sz w:val="24"/>
        </w:rPr>
        <w:t>，长度</w:t>
      </w:r>
      <w:r>
        <w:rPr>
          <w:rFonts w:hint="eastAsia" w:ascii="宋体" w:hAnsi="宋体"/>
          <w:sz w:val="24"/>
          <w:lang w:val="en-US" w:eastAsia="zh-CN"/>
        </w:rPr>
        <w:t>1.5</w:t>
      </w:r>
      <w:r>
        <w:rPr>
          <w:rFonts w:ascii="宋体" w:hAnsi="宋体"/>
          <w:sz w:val="24"/>
        </w:rPr>
        <w:t>m</w:t>
      </w:r>
      <w:r>
        <w:rPr>
          <w:rFonts w:hint="eastAsia" w:ascii="宋体" w:hAnsi="宋体"/>
          <w:sz w:val="24"/>
        </w:rPr>
        <w:t>，材质</w:t>
      </w:r>
      <w:r>
        <w:rPr>
          <w:rFonts w:ascii="宋体" w:hAnsi="宋体"/>
          <w:sz w:val="24"/>
        </w:rPr>
        <w:t>Q235b</w:t>
      </w:r>
      <w:r>
        <w:rPr>
          <w:rFonts w:hint="eastAsia" w:ascii="宋体" w:hAnsi="宋体"/>
          <w:sz w:val="24"/>
        </w:rPr>
        <w:t>钢材，壁厚</w:t>
      </w:r>
      <w:r>
        <w:rPr>
          <w:rFonts w:ascii="宋体" w:hAnsi="宋体"/>
          <w:sz w:val="24"/>
        </w:rPr>
        <w:t>22mm</w:t>
      </w:r>
      <w:r>
        <w:rPr>
          <w:rFonts w:hint="eastAsia" w:ascii="宋体" w:hAnsi="宋体"/>
          <w:sz w:val="24"/>
        </w:rPr>
        <w:t>的螺旋管，进入土层。钢护筒长度视施工地质情况而做相应调整。</w:t>
      </w:r>
    </w:p>
    <w:p>
      <w:pPr>
        <w:spacing w:line="360" w:lineRule="auto"/>
        <w:ind w:firstLine="480" w:firstLineChars="200"/>
        <w:rPr>
          <w:rFonts w:ascii="宋体"/>
          <w:bCs/>
          <w:sz w:val="24"/>
          <w:szCs w:val="28"/>
        </w:rPr>
      </w:pPr>
      <w:r>
        <w:rPr>
          <w:rFonts w:ascii="宋体" w:hAnsi="宋体"/>
          <w:bCs/>
          <w:sz w:val="24"/>
          <w:szCs w:val="28"/>
        </w:rPr>
        <w:t>2</w:t>
      </w:r>
      <w:r>
        <w:rPr>
          <w:rFonts w:hint="eastAsia" w:ascii="宋体" w:hAnsi="宋体"/>
          <w:bCs/>
          <w:sz w:val="24"/>
          <w:szCs w:val="28"/>
        </w:rPr>
        <w:t>、钢护筒制造</w:t>
      </w:r>
    </w:p>
    <w:p>
      <w:pPr>
        <w:spacing w:line="360" w:lineRule="auto"/>
        <w:ind w:firstLine="600" w:firstLineChars="250"/>
        <w:rPr>
          <w:rFonts w:ascii="宋体"/>
          <w:bCs/>
          <w:sz w:val="24"/>
          <w:szCs w:val="28"/>
        </w:rPr>
      </w:pPr>
      <w:r>
        <w:rPr>
          <w:rFonts w:ascii="宋体" w:hAnsi="宋体"/>
          <w:bCs/>
          <w:sz w:val="24"/>
          <w:szCs w:val="28"/>
        </w:rPr>
        <w:t>1)</w:t>
      </w:r>
      <w:r>
        <w:rPr>
          <w:rFonts w:hint="eastAsia" w:ascii="宋体" w:hAnsi="宋体"/>
          <w:bCs/>
          <w:sz w:val="24"/>
          <w:szCs w:val="28"/>
        </w:rPr>
        <w:t>钢</w:t>
      </w:r>
      <w:r>
        <w:rPr>
          <w:rFonts w:hint="eastAsia" w:ascii="宋体" w:hAnsi="宋体"/>
          <w:sz w:val="24"/>
          <w:szCs w:val="28"/>
        </w:rPr>
        <w:t>护筒材料、规格、制造工艺必须符合设计和规范要求，材料需具有出厂合格证和检验报告。</w:t>
      </w:r>
      <w:r>
        <w:rPr>
          <w:rFonts w:ascii="宋体" w:hAnsi="宋体"/>
          <w:bCs/>
          <w:sz w:val="24"/>
          <w:szCs w:val="28"/>
        </w:rPr>
        <w:t xml:space="preserve"> </w:t>
      </w:r>
    </w:p>
    <w:p>
      <w:pPr>
        <w:spacing w:line="360" w:lineRule="auto"/>
        <w:ind w:firstLine="480" w:firstLineChars="200"/>
        <w:rPr>
          <w:rFonts w:ascii="宋体"/>
          <w:sz w:val="24"/>
        </w:rPr>
      </w:pPr>
      <w:r>
        <w:rPr>
          <w:rFonts w:ascii="宋体" w:hAnsi="宋体"/>
          <w:bCs/>
          <w:sz w:val="24"/>
          <w:szCs w:val="28"/>
        </w:rPr>
        <w:t>2)</w:t>
      </w:r>
      <w:r>
        <w:rPr>
          <w:rFonts w:ascii="宋体" w:hAnsi="宋体"/>
          <w:sz w:val="24"/>
          <w:szCs w:val="28"/>
        </w:rPr>
        <w:t xml:space="preserve"> </w:t>
      </w:r>
      <w:r>
        <w:rPr>
          <w:rFonts w:hint="eastAsia" w:ascii="宋体" w:hAnsi="宋体"/>
          <w:sz w:val="24"/>
          <w:szCs w:val="28"/>
        </w:rPr>
        <w:t>钢护筒在工厂内焊接成</w:t>
      </w:r>
      <w:r>
        <w:rPr>
          <w:rFonts w:ascii="宋体" w:hAnsi="宋体"/>
          <w:sz w:val="24"/>
          <w:szCs w:val="28"/>
        </w:rPr>
        <w:t>2</w:t>
      </w:r>
      <w:r>
        <w:rPr>
          <w:rFonts w:hint="eastAsia" w:ascii="宋体" w:hAnsi="宋体"/>
          <w:sz w:val="24"/>
          <w:szCs w:val="28"/>
        </w:rPr>
        <w:t>节，现场设置</w:t>
      </w:r>
      <w:r>
        <w:rPr>
          <w:rFonts w:ascii="宋体" w:hAnsi="宋体"/>
          <w:sz w:val="24"/>
          <w:szCs w:val="28"/>
        </w:rPr>
        <w:t>1</w:t>
      </w:r>
      <w:r>
        <w:rPr>
          <w:rFonts w:hint="eastAsia" w:ascii="宋体" w:hAnsi="宋体"/>
          <w:sz w:val="24"/>
          <w:szCs w:val="28"/>
        </w:rPr>
        <w:t>个接头</w:t>
      </w:r>
      <w:r>
        <w:rPr>
          <w:rFonts w:hint="eastAsia" w:ascii="宋体" w:hAnsi="宋体"/>
          <w:color w:val="000000"/>
          <w:sz w:val="24"/>
          <w:szCs w:val="28"/>
        </w:rPr>
        <w:t>，</w:t>
      </w:r>
      <w:r>
        <w:rPr>
          <w:rFonts w:hint="eastAsia" w:ascii="宋体" w:hAnsi="宋体"/>
          <w:sz w:val="24"/>
        </w:rPr>
        <w:t>接口处顶节底口采用</w:t>
      </w:r>
      <w:r>
        <w:rPr>
          <w:rFonts w:ascii="宋体" w:hAnsi="宋体"/>
          <w:sz w:val="24"/>
        </w:rPr>
        <w:t>45</w:t>
      </w:r>
      <w:r>
        <w:rPr>
          <w:rFonts w:ascii="宋体"/>
          <w:sz w:val="24"/>
          <w:vertAlign w:val="superscript"/>
        </w:rPr>
        <w:t>0</w:t>
      </w:r>
      <w:r>
        <w:rPr>
          <w:rFonts w:hint="eastAsia" w:ascii="宋体" w:hAnsi="宋体"/>
          <w:sz w:val="24"/>
        </w:rPr>
        <w:t>单面</w:t>
      </w:r>
      <w:r>
        <w:rPr>
          <w:rFonts w:ascii="宋体" w:hAnsi="宋体"/>
          <w:sz w:val="24"/>
        </w:rPr>
        <w:t>V</w:t>
      </w:r>
      <w:r>
        <w:rPr>
          <w:rFonts w:hint="eastAsia" w:ascii="宋体" w:hAnsi="宋体"/>
          <w:sz w:val="24"/>
        </w:rPr>
        <w:t>型坡口。</w:t>
      </w:r>
    </w:p>
    <w:p>
      <w:pPr>
        <w:spacing w:line="360" w:lineRule="auto"/>
        <w:ind w:firstLine="480" w:firstLineChars="200"/>
        <w:rPr>
          <w:rFonts w:ascii="宋体"/>
          <w:sz w:val="24"/>
        </w:rPr>
      </w:pPr>
      <w:r>
        <w:rPr>
          <w:rFonts w:ascii="宋体" w:hAnsi="宋体"/>
          <w:bCs/>
          <w:sz w:val="24"/>
          <w:szCs w:val="28"/>
        </w:rPr>
        <w:t xml:space="preserve">3) </w:t>
      </w:r>
      <w:r>
        <w:rPr>
          <w:rFonts w:hint="eastAsia" w:ascii="宋体" w:hAnsi="宋体"/>
          <w:bCs/>
          <w:sz w:val="24"/>
          <w:szCs w:val="28"/>
        </w:rPr>
        <w:t>护筒底口设计了加劲环以增加护筒底口的刚度。</w:t>
      </w:r>
    </w:p>
    <w:p>
      <w:pPr>
        <w:spacing w:line="360" w:lineRule="auto"/>
        <w:ind w:firstLine="480" w:firstLineChars="200"/>
        <w:rPr>
          <w:rFonts w:ascii="宋体"/>
          <w:bCs/>
          <w:sz w:val="24"/>
          <w:szCs w:val="28"/>
        </w:rPr>
      </w:pPr>
      <w:r>
        <w:rPr>
          <w:rFonts w:ascii="宋体" w:hAnsi="宋体"/>
          <w:bCs/>
          <w:sz w:val="24"/>
          <w:szCs w:val="28"/>
        </w:rPr>
        <w:t xml:space="preserve">4) </w:t>
      </w:r>
      <w:r>
        <w:rPr>
          <w:rFonts w:hint="eastAsia" w:ascii="宋体" w:hAnsi="宋体"/>
          <w:sz w:val="24"/>
          <w:szCs w:val="28"/>
        </w:rPr>
        <w:t>钢护筒的焊接工厂内采用自动埋弧焊接</w:t>
      </w:r>
      <w:r>
        <w:rPr>
          <w:rFonts w:ascii="宋体" w:hAnsi="宋体"/>
          <w:sz w:val="24"/>
          <w:szCs w:val="28"/>
        </w:rPr>
        <w:t xml:space="preserve"> </w:t>
      </w:r>
      <w:r>
        <w:rPr>
          <w:rFonts w:hint="eastAsia" w:ascii="宋体" w:hAnsi="宋体"/>
          <w:sz w:val="24"/>
          <w:szCs w:val="28"/>
        </w:rPr>
        <w:t>，现场采用</w:t>
      </w:r>
      <w:r>
        <w:rPr>
          <w:rFonts w:ascii="宋体" w:hAnsi="宋体"/>
          <w:sz w:val="24"/>
          <w:szCs w:val="28"/>
        </w:rPr>
        <w:t>CO2</w:t>
      </w:r>
      <w:r>
        <w:rPr>
          <w:rFonts w:hint="eastAsia" w:ascii="宋体" w:hAnsi="宋体"/>
          <w:sz w:val="24"/>
          <w:szCs w:val="28"/>
        </w:rPr>
        <w:t>保护焊，钢</w:t>
      </w:r>
      <w:r>
        <w:rPr>
          <w:rFonts w:hint="eastAsia" w:ascii="宋体" w:hAnsi="宋体"/>
          <w:bCs/>
          <w:sz w:val="24"/>
          <w:szCs w:val="28"/>
        </w:rPr>
        <w:t>护筒加工完成后，应进行下列检查：焊缝超声波探伤检查、圆整度（规圆）检查、轴心垂直度检查、直径检查、长度检查，符合验收标准后出厂。</w:t>
      </w:r>
    </w:p>
    <w:p>
      <w:pPr>
        <w:spacing w:line="360" w:lineRule="auto"/>
        <w:ind w:firstLine="480" w:firstLineChars="200"/>
        <w:rPr>
          <w:rFonts w:ascii="宋体"/>
          <w:bCs/>
          <w:sz w:val="24"/>
          <w:szCs w:val="28"/>
        </w:rPr>
      </w:pPr>
      <w:r>
        <w:rPr>
          <w:rFonts w:hint="eastAsia" w:ascii="宋体" w:hAnsi="宋体"/>
          <w:bCs/>
          <w:sz w:val="24"/>
          <w:szCs w:val="28"/>
        </w:rPr>
        <w:t>钢护筒加工质量标准：</w:t>
      </w:r>
    </w:p>
    <w:p>
      <w:pPr>
        <w:spacing w:line="360" w:lineRule="auto"/>
        <w:jc w:val="center"/>
        <w:rPr>
          <w:rFonts w:ascii="宋体"/>
          <w:b/>
          <w:szCs w:val="21"/>
        </w:rPr>
      </w:pPr>
      <w:r>
        <w:rPr>
          <w:rFonts w:hint="eastAsia" w:ascii="宋体" w:hAnsi="宋体"/>
          <w:b/>
          <w:bCs/>
          <w:szCs w:val="21"/>
        </w:rPr>
        <w:t>表</w:t>
      </w:r>
      <w:r>
        <w:rPr>
          <w:rFonts w:ascii="宋体" w:hAnsi="宋体"/>
          <w:b/>
          <w:bCs/>
          <w:szCs w:val="21"/>
        </w:rPr>
        <w:t xml:space="preserve">4-1 </w:t>
      </w:r>
      <w:r>
        <w:rPr>
          <w:rFonts w:hint="eastAsia" w:ascii="宋体" w:hAnsi="宋体"/>
          <w:b/>
          <w:bCs/>
          <w:szCs w:val="21"/>
        </w:rPr>
        <w:t>管节外形尺寸的允许偏差</w:t>
      </w:r>
    </w:p>
    <w:tbl>
      <w:tblPr>
        <w:tblStyle w:val="29"/>
        <w:tblW w:w="9157" w:type="dxa"/>
        <w:tblInd w:w="85"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85" w:type="dxa"/>
          <w:bottom w:w="0" w:type="dxa"/>
          <w:right w:w="85" w:type="dxa"/>
        </w:tblCellMar>
      </w:tblPr>
      <w:tblGrid>
        <w:gridCol w:w="2160"/>
        <w:gridCol w:w="540"/>
        <w:gridCol w:w="3060"/>
        <w:gridCol w:w="339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85" w:type="dxa"/>
            <w:bottom w:w="0" w:type="dxa"/>
            <w:right w:w="85" w:type="dxa"/>
          </w:tblCellMar>
        </w:tblPrEx>
        <w:trPr>
          <w:trHeight w:val="425" w:hRule="exact"/>
        </w:trPr>
        <w:tc>
          <w:tcPr>
            <w:tcW w:w="2160" w:type="dxa"/>
            <w:tcBorders>
              <w:top w:val="double" w:color="auto" w:sz="4" w:space="0"/>
              <w:left w:val="double" w:color="auto" w:sz="4" w:space="0"/>
            </w:tcBorders>
            <w:vAlign w:val="center"/>
          </w:tcPr>
          <w:p>
            <w:pPr>
              <w:spacing w:line="360" w:lineRule="auto"/>
              <w:jc w:val="center"/>
              <w:rPr>
                <w:rFonts w:ascii="宋体"/>
                <w:szCs w:val="21"/>
              </w:rPr>
            </w:pPr>
            <w:r>
              <w:rPr>
                <w:rFonts w:hint="eastAsia" w:ascii="宋体" w:hAnsi="宋体"/>
                <w:szCs w:val="21"/>
              </w:rPr>
              <w:t>偏差部位</w:t>
            </w:r>
          </w:p>
        </w:tc>
        <w:tc>
          <w:tcPr>
            <w:tcW w:w="3600" w:type="dxa"/>
            <w:gridSpan w:val="2"/>
            <w:tcBorders>
              <w:top w:val="double" w:color="auto" w:sz="4" w:space="0"/>
            </w:tcBorders>
            <w:vAlign w:val="center"/>
          </w:tcPr>
          <w:p>
            <w:pPr>
              <w:spacing w:line="360" w:lineRule="auto"/>
              <w:jc w:val="center"/>
              <w:rPr>
                <w:rFonts w:ascii="宋体"/>
                <w:szCs w:val="21"/>
              </w:rPr>
            </w:pPr>
            <w:r>
              <w:rPr>
                <w:rFonts w:hint="eastAsia" w:ascii="宋体" w:hAnsi="宋体"/>
                <w:szCs w:val="21"/>
              </w:rPr>
              <w:t>允许偏差</w:t>
            </w:r>
          </w:p>
        </w:tc>
        <w:tc>
          <w:tcPr>
            <w:tcW w:w="3397" w:type="dxa"/>
            <w:tcBorders>
              <w:top w:val="double" w:color="auto" w:sz="4" w:space="0"/>
              <w:right w:val="double" w:color="auto" w:sz="4" w:space="0"/>
            </w:tcBorders>
            <w:vAlign w:val="center"/>
          </w:tcPr>
          <w:p>
            <w:pPr>
              <w:spacing w:line="360" w:lineRule="auto"/>
              <w:jc w:val="center"/>
              <w:rPr>
                <w:rFonts w:ascii="宋体"/>
                <w:szCs w:val="21"/>
              </w:rPr>
            </w:pPr>
            <w:r>
              <w:rPr>
                <w:rFonts w:hint="eastAsia" w:ascii="宋体" w:hAnsi="宋体"/>
                <w:szCs w:val="21"/>
              </w:rPr>
              <w:t>备注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85" w:type="dxa"/>
            <w:bottom w:w="0" w:type="dxa"/>
            <w:right w:w="85" w:type="dxa"/>
          </w:tblCellMar>
        </w:tblPrEx>
        <w:trPr>
          <w:trHeight w:val="425" w:hRule="exact"/>
        </w:trPr>
        <w:tc>
          <w:tcPr>
            <w:tcW w:w="2160" w:type="dxa"/>
            <w:tcBorders>
              <w:left w:val="double" w:color="auto" w:sz="4" w:space="0"/>
            </w:tcBorders>
            <w:vAlign w:val="center"/>
          </w:tcPr>
          <w:p>
            <w:pPr>
              <w:spacing w:line="360" w:lineRule="auto"/>
              <w:rPr>
                <w:rFonts w:ascii="宋体"/>
                <w:szCs w:val="21"/>
              </w:rPr>
            </w:pPr>
            <w:r>
              <w:rPr>
                <w:rFonts w:hint="eastAsia" w:ascii="宋体" w:hAnsi="宋体"/>
                <w:szCs w:val="21"/>
              </w:rPr>
              <w:t>外周长</w:t>
            </w:r>
          </w:p>
        </w:tc>
        <w:tc>
          <w:tcPr>
            <w:tcW w:w="3600" w:type="dxa"/>
            <w:gridSpan w:val="2"/>
            <w:vAlign w:val="center"/>
          </w:tcPr>
          <w:p>
            <w:pPr>
              <w:spacing w:line="360" w:lineRule="auto"/>
              <w:rPr>
                <w:rFonts w:ascii="宋体"/>
                <w:szCs w:val="21"/>
              </w:rPr>
            </w:pPr>
            <w:r>
              <w:rPr>
                <w:rFonts w:hint="eastAsia" w:ascii="宋体" w:hAnsi="宋体"/>
                <w:szCs w:val="21"/>
              </w:rPr>
              <w:t>±</w:t>
            </w:r>
            <w:r>
              <w:rPr>
                <w:rFonts w:ascii="宋体" w:hAnsi="宋体"/>
                <w:szCs w:val="21"/>
              </w:rPr>
              <w:t>0.5%</w:t>
            </w:r>
            <w:r>
              <w:rPr>
                <w:rFonts w:hint="eastAsia" w:ascii="宋体" w:hAnsi="宋体"/>
                <w:szCs w:val="21"/>
              </w:rPr>
              <w:t>周长</w:t>
            </w:r>
          </w:p>
        </w:tc>
        <w:tc>
          <w:tcPr>
            <w:tcW w:w="3397" w:type="dxa"/>
            <w:tcBorders>
              <w:right w:val="double" w:color="auto" w:sz="4" w:space="0"/>
            </w:tcBorders>
            <w:vAlign w:val="center"/>
          </w:tcPr>
          <w:p>
            <w:pPr>
              <w:spacing w:line="360" w:lineRule="auto"/>
              <w:rPr>
                <w:rFonts w:ascii="宋体"/>
                <w:szCs w:val="21"/>
              </w:rPr>
            </w:pPr>
            <w:r>
              <w:rPr>
                <w:rFonts w:hint="eastAsia" w:ascii="宋体" w:hAnsi="宋体"/>
                <w:szCs w:val="21"/>
              </w:rPr>
              <w:t>测量外周长</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85" w:type="dxa"/>
            <w:bottom w:w="0" w:type="dxa"/>
            <w:right w:w="85" w:type="dxa"/>
          </w:tblCellMar>
        </w:tblPrEx>
        <w:tc>
          <w:tcPr>
            <w:tcW w:w="2160" w:type="dxa"/>
            <w:tcBorders>
              <w:left w:val="double" w:color="auto" w:sz="4" w:space="0"/>
            </w:tcBorders>
            <w:vAlign w:val="center"/>
          </w:tcPr>
          <w:p>
            <w:pPr>
              <w:spacing w:line="360" w:lineRule="auto"/>
              <w:rPr>
                <w:rFonts w:ascii="宋体"/>
                <w:szCs w:val="21"/>
              </w:rPr>
            </w:pPr>
            <w:r>
              <w:rPr>
                <w:rFonts w:hint="eastAsia" w:ascii="宋体" w:hAnsi="宋体"/>
                <w:szCs w:val="21"/>
              </w:rPr>
              <w:t>管端椭圆度</w:t>
            </w:r>
          </w:p>
        </w:tc>
        <w:tc>
          <w:tcPr>
            <w:tcW w:w="3600" w:type="dxa"/>
            <w:gridSpan w:val="2"/>
            <w:vAlign w:val="center"/>
          </w:tcPr>
          <w:p>
            <w:pPr>
              <w:spacing w:line="360" w:lineRule="auto"/>
              <w:rPr>
                <w:rFonts w:ascii="宋体"/>
                <w:szCs w:val="21"/>
              </w:rPr>
            </w:pPr>
            <w:r>
              <w:rPr>
                <w:rFonts w:hint="eastAsia" w:ascii="宋体" w:hAnsi="宋体"/>
                <w:szCs w:val="21"/>
              </w:rPr>
              <w:t>±</w:t>
            </w:r>
            <w:r>
              <w:rPr>
                <w:rFonts w:ascii="宋体"/>
                <w:szCs w:val="21"/>
              </w:rPr>
              <w:t>0</w:t>
            </w:r>
            <w:r>
              <w:rPr>
                <w:rFonts w:ascii="宋体" w:hAnsi="宋体"/>
                <w:szCs w:val="21"/>
              </w:rPr>
              <w:t>.5%d</w:t>
            </w:r>
            <w:r>
              <w:rPr>
                <w:rFonts w:hint="eastAsia" w:ascii="宋体" w:hAnsi="宋体"/>
                <w:szCs w:val="21"/>
              </w:rPr>
              <w:t>（</w:t>
            </w:r>
            <w:r>
              <w:rPr>
                <w:rFonts w:ascii="宋体" w:hAnsi="宋体"/>
                <w:szCs w:val="21"/>
              </w:rPr>
              <w:t>d</w:t>
            </w:r>
            <w:r>
              <w:rPr>
                <w:rFonts w:hint="eastAsia" w:ascii="宋体" w:hAnsi="宋体"/>
                <w:szCs w:val="21"/>
              </w:rPr>
              <w:t>为管径）</w:t>
            </w:r>
          </w:p>
        </w:tc>
        <w:tc>
          <w:tcPr>
            <w:tcW w:w="3397" w:type="dxa"/>
            <w:tcBorders>
              <w:right w:val="double" w:color="auto" w:sz="4" w:space="0"/>
            </w:tcBorders>
            <w:vAlign w:val="center"/>
          </w:tcPr>
          <w:p>
            <w:pPr>
              <w:spacing w:line="360" w:lineRule="auto"/>
              <w:rPr>
                <w:rFonts w:ascii="宋体"/>
                <w:szCs w:val="21"/>
              </w:rPr>
            </w:pPr>
            <w:r>
              <w:rPr>
                <w:rFonts w:hint="eastAsia" w:ascii="宋体" w:hAnsi="宋体"/>
                <w:szCs w:val="21"/>
              </w:rPr>
              <w:t>椭圆度指管端两相互垂直直径之差</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85" w:type="dxa"/>
            <w:bottom w:w="0" w:type="dxa"/>
            <w:right w:w="85" w:type="dxa"/>
          </w:tblCellMar>
        </w:tblPrEx>
        <w:trPr>
          <w:trHeight w:val="425" w:hRule="exact"/>
        </w:trPr>
        <w:tc>
          <w:tcPr>
            <w:tcW w:w="2160" w:type="dxa"/>
            <w:tcBorders>
              <w:left w:val="double" w:color="auto" w:sz="4" w:space="0"/>
            </w:tcBorders>
            <w:vAlign w:val="center"/>
          </w:tcPr>
          <w:p>
            <w:pPr>
              <w:spacing w:line="360" w:lineRule="auto"/>
              <w:rPr>
                <w:rFonts w:ascii="宋体"/>
                <w:szCs w:val="21"/>
              </w:rPr>
            </w:pPr>
            <w:r>
              <w:rPr>
                <w:rFonts w:hint="eastAsia" w:ascii="宋体" w:hAnsi="宋体"/>
                <w:szCs w:val="21"/>
              </w:rPr>
              <w:t>管端平整度</w:t>
            </w:r>
          </w:p>
        </w:tc>
        <w:tc>
          <w:tcPr>
            <w:tcW w:w="3600" w:type="dxa"/>
            <w:gridSpan w:val="2"/>
            <w:vAlign w:val="center"/>
          </w:tcPr>
          <w:p>
            <w:pPr>
              <w:spacing w:line="360" w:lineRule="auto"/>
              <w:rPr>
                <w:rFonts w:ascii="宋体"/>
                <w:szCs w:val="21"/>
              </w:rPr>
            </w:pPr>
            <w:r>
              <w:rPr>
                <w:rFonts w:ascii="宋体" w:hAnsi="宋体"/>
                <w:szCs w:val="21"/>
              </w:rPr>
              <w:t>2mm</w:t>
            </w:r>
          </w:p>
        </w:tc>
        <w:tc>
          <w:tcPr>
            <w:tcW w:w="3397" w:type="dxa"/>
            <w:tcBorders>
              <w:right w:val="double" w:color="auto" w:sz="4" w:space="0"/>
            </w:tcBorders>
            <w:vAlign w:val="center"/>
          </w:tcPr>
          <w:p>
            <w:pPr>
              <w:spacing w:line="360" w:lineRule="auto"/>
              <w:jc w:val="center"/>
              <w:rPr>
                <w:rFonts w:asci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85" w:type="dxa"/>
            <w:bottom w:w="0" w:type="dxa"/>
            <w:right w:w="85" w:type="dxa"/>
          </w:tblCellMar>
        </w:tblPrEx>
        <w:trPr>
          <w:trHeight w:val="425" w:hRule="exact"/>
        </w:trPr>
        <w:tc>
          <w:tcPr>
            <w:tcW w:w="2160" w:type="dxa"/>
            <w:tcBorders>
              <w:left w:val="double" w:color="auto" w:sz="4" w:space="0"/>
              <w:bottom w:val="double" w:color="auto" w:sz="4" w:space="0"/>
            </w:tcBorders>
            <w:vAlign w:val="center"/>
          </w:tcPr>
          <w:p>
            <w:pPr>
              <w:spacing w:line="360" w:lineRule="auto"/>
              <w:rPr>
                <w:rFonts w:ascii="宋体"/>
                <w:szCs w:val="21"/>
              </w:rPr>
            </w:pPr>
            <w:r>
              <w:rPr>
                <w:rFonts w:hint="eastAsia" w:ascii="宋体" w:hAnsi="宋体"/>
                <w:szCs w:val="21"/>
              </w:rPr>
              <w:t>管端平面倾斜</w:t>
            </w:r>
          </w:p>
        </w:tc>
        <w:tc>
          <w:tcPr>
            <w:tcW w:w="3600" w:type="dxa"/>
            <w:gridSpan w:val="2"/>
            <w:tcBorders>
              <w:bottom w:val="double" w:color="auto" w:sz="4" w:space="0"/>
            </w:tcBorders>
            <w:vAlign w:val="center"/>
          </w:tcPr>
          <w:p>
            <w:pPr>
              <w:spacing w:line="360" w:lineRule="auto"/>
              <w:rPr>
                <w:rFonts w:ascii="宋体"/>
                <w:szCs w:val="21"/>
              </w:rPr>
            </w:pPr>
            <w:r>
              <w:rPr>
                <w:rFonts w:ascii="宋体"/>
                <w:szCs w:val="21"/>
              </w:rPr>
              <w:t>0</w:t>
            </w:r>
            <w:r>
              <w:rPr>
                <w:rFonts w:ascii="宋体" w:hAnsi="宋体"/>
                <w:szCs w:val="21"/>
              </w:rPr>
              <w:t>.5%d</w:t>
            </w:r>
          </w:p>
        </w:tc>
        <w:tc>
          <w:tcPr>
            <w:tcW w:w="3397" w:type="dxa"/>
            <w:tcBorders>
              <w:bottom w:val="double" w:color="auto" w:sz="4" w:space="0"/>
              <w:right w:val="double" w:color="auto" w:sz="4" w:space="0"/>
            </w:tcBorders>
            <w:vAlign w:val="center"/>
          </w:tcPr>
          <w:p>
            <w:pPr>
              <w:spacing w:line="360" w:lineRule="auto"/>
              <w:jc w:val="center"/>
              <w:rPr>
                <w:rFonts w:asci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85" w:type="dxa"/>
            <w:bottom w:w="0" w:type="dxa"/>
            <w:right w:w="85" w:type="dxa"/>
          </w:tblCellMar>
        </w:tblPrEx>
        <w:trPr>
          <w:cantSplit/>
          <w:trHeight w:val="432" w:hRule="atLeast"/>
        </w:trPr>
        <w:tc>
          <w:tcPr>
            <w:tcW w:w="9157" w:type="dxa"/>
            <w:gridSpan w:val="4"/>
            <w:tcBorders>
              <w:top w:val="double" w:color="auto" w:sz="4" w:space="0"/>
              <w:left w:val="nil"/>
              <w:bottom w:val="double" w:color="auto" w:sz="4" w:space="0"/>
              <w:right w:val="nil"/>
            </w:tcBorders>
            <w:vAlign w:val="center"/>
          </w:tcPr>
          <w:p>
            <w:pPr>
              <w:spacing w:line="360" w:lineRule="auto"/>
              <w:rPr>
                <w:rFonts w:ascii="宋体"/>
                <w:b/>
                <w:bCs/>
                <w:szCs w:val="21"/>
              </w:rPr>
            </w:pPr>
          </w:p>
          <w:p>
            <w:pPr>
              <w:spacing w:line="360" w:lineRule="auto"/>
              <w:jc w:val="center"/>
              <w:rPr>
                <w:rFonts w:ascii="宋体"/>
                <w:bCs/>
                <w:sz w:val="24"/>
              </w:rPr>
            </w:pPr>
            <w:r>
              <w:rPr>
                <w:rFonts w:hint="eastAsia" w:ascii="宋体" w:hAnsi="宋体"/>
                <w:b/>
                <w:bCs/>
                <w:szCs w:val="21"/>
              </w:rPr>
              <w:t>表</w:t>
            </w:r>
            <w:r>
              <w:rPr>
                <w:rFonts w:ascii="宋体" w:hAnsi="宋体"/>
                <w:b/>
                <w:bCs/>
                <w:szCs w:val="21"/>
              </w:rPr>
              <w:t xml:space="preserve">4-2 </w:t>
            </w:r>
            <w:r>
              <w:rPr>
                <w:rFonts w:hint="eastAsia" w:ascii="宋体" w:hAnsi="宋体"/>
                <w:b/>
                <w:bCs/>
                <w:szCs w:val="21"/>
              </w:rPr>
              <w:t>管桩成品外形尺寸允许偏差</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85" w:type="dxa"/>
            <w:bottom w:w="0" w:type="dxa"/>
            <w:right w:w="85" w:type="dxa"/>
          </w:tblCellMar>
        </w:tblPrEx>
        <w:trPr>
          <w:cantSplit/>
          <w:trHeight w:val="425" w:hRule="exact"/>
        </w:trPr>
        <w:tc>
          <w:tcPr>
            <w:tcW w:w="2160" w:type="dxa"/>
            <w:tcBorders>
              <w:top w:val="double" w:color="auto" w:sz="4" w:space="0"/>
              <w:left w:val="double" w:color="auto" w:sz="4" w:space="0"/>
            </w:tcBorders>
            <w:vAlign w:val="center"/>
          </w:tcPr>
          <w:p>
            <w:pPr>
              <w:spacing w:line="360" w:lineRule="auto"/>
              <w:rPr>
                <w:rFonts w:ascii="宋体"/>
                <w:szCs w:val="21"/>
              </w:rPr>
            </w:pPr>
            <w:r>
              <w:rPr>
                <w:rFonts w:hint="eastAsia" w:ascii="宋体" w:hAnsi="宋体"/>
                <w:szCs w:val="21"/>
              </w:rPr>
              <w:t>桩长偏差</w:t>
            </w:r>
          </w:p>
        </w:tc>
        <w:tc>
          <w:tcPr>
            <w:tcW w:w="6997" w:type="dxa"/>
            <w:gridSpan w:val="3"/>
            <w:tcBorders>
              <w:top w:val="double" w:color="auto" w:sz="4" w:space="0"/>
              <w:right w:val="double" w:color="auto" w:sz="4" w:space="0"/>
            </w:tcBorders>
            <w:vAlign w:val="center"/>
          </w:tcPr>
          <w:p>
            <w:pPr>
              <w:spacing w:line="360" w:lineRule="auto"/>
              <w:jc w:val="center"/>
              <w:rPr>
                <w:rFonts w:ascii="宋体"/>
                <w:szCs w:val="21"/>
              </w:rPr>
            </w:pPr>
            <w:r>
              <w:rPr>
                <w:rFonts w:ascii="宋体" w:hAnsi="宋体"/>
                <w:szCs w:val="21"/>
              </w:rPr>
              <w:t>+300mm</w:t>
            </w:r>
            <w:r>
              <w:rPr>
                <w:rFonts w:hint="eastAsia" w:ascii="宋体" w:hAnsi="宋体"/>
                <w:szCs w:val="21"/>
              </w:rPr>
              <w:t>，</w:t>
            </w:r>
            <w:r>
              <w:rPr>
                <w:rFonts w:ascii="宋体" w:hAnsi="宋体"/>
                <w:szCs w:val="21"/>
              </w:rPr>
              <w:t>0mm</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85" w:type="dxa"/>
            <w:bottom w:w="0" w:type="dxa"/>
            <w:right w:w="85" w:type="dxa"/>
          </w:tblCellMar>
        </w:tblPrEx>
        <w:trPr>
          <w:cantSplit/>
          <w:trHeight w:val="425" w:hRule="exact"/>
        </w:trPr>
        <w:tc>
          <w:tcPr>
            <w:tcW w:w="2160" w:type="dxa"/>
            <w:tcBorders>
              <w:left w:val="double" w:color="auto" w:sz="4" w:space="0"/>
              <w:bottom w:val="double" w:color="auto" w:sz="4" w:space="0"/>
            </w:tcBorders>
            <w:vAlign w:val="center"/>
          </w:tcPr>
          <w:p>
            <w:pPr>
              <w:spacing w:line="360" w:lineRule="auto"/>
              <w:rPr>
                <w:rFonts w:ascii="宋体"/>
                <w:szCs w:val="21"/>
              </w:rPr>
            </w:pPr>
            <w:r>
              <w:rPr>
                <w:rFonts w:hint="eastAsia" w:ascii="宋体" w:hAnsi="宋体"/>
                <w:szCs w:val="21"/>
              </w:rPr>
              <w:t>纵轴线弯曲矢高</w:t>
            </w:r>
          </w:p>
        </w:tc>
        <w:tc>
          <w:tcPr>
            <w:tcW w:w="6997" w:type="dxa"/>
            <w:gridSpan w:val="3"/>
            <w:tcBorders>
              <w:bottom w:val="double" w:color="auto" w:sz="4" w:space="0"/>
              <w:right w:val="double" w:color="auto" w:sz="4" w:space="0"/>
            </w:tcBorders>
            <w:vAlign w:val="center"/>
          </w:tcPr>
          <w:p>
            <w:pPr>
              <w:spacing w:line="360" w:lineRule="auto"/>
              <w:jc w:val="center"/>
              <w:rPr>
                <w:rFonts w:ascii="宋体"/>
                <w:szCs w:val="21"/>
              </w:rPr>
            </w:pPr>
            <w:r>
              <w:rPr>
                <w:rFonts w:hint="eastAsia" w:ascii="宋体" w:hAnsi="宋体"/>
                <w:szCs w:val="21"/>
              </w:rPr>
              <w:t>不大于桩长的</w:t>
            </w:r>
            <w:r>
              <w:rPr>
                <w:rFonts w:ascii="宋体" w:hAnsi="宋体"/>
                <w:szCs w:val="21"/>
              </w:rPr>
              <w:t>0.1%</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85" w:type="dxa"/>
            <w:bottom w:w="0" w:type="dxa"/>
            <w:right w:w="85" w:type="dxa"/>
          </w:tblCellMar>
        </w:tblPrEx>
        <w:trPr>
          <w:cantSplit/>
          <w:trHeight w:val="582" w:hRule="exact"/>
        </w:trPr>
        <w:tc>
          <w:tcPr>
            <w:tcW w:w="9157" w:type="dxa"/>
            <w:gridSpan w:val="4"/>
            <w:tcBorders>
              <w:top w:val="double" w:color="auto" w:sz="4" w:space="0"/>
              <w:left w:val="nil"/>
              <w:bottom w:val="double" w:color="auto" w:sz="4" w:space="0"/>
              <w:right w:val="nil"/>
            </w:tcBorders>
            <w:vAlign w:val="center"/>
          </w:tcPr>
          <w:p>
            <w:pPr>
              <w:spacing w:line="360" w:lineRule="auto"/>
              <w:jc w:val="center"/>
              <w:rPr>
                <w:rFonts w:ascii="宋体"/>
                <w:bCs/>
                <w:sz w:val="24"/>
              </w:rPr>
            </w:pPr>
            <w:r>
              <w:rPr>
                <w:rFonts w:hint="eastAsia" w:ascii="宋体" w:hAnsi="宋体"/>
                <w:b/>
                <w:bCs/>
                <w:szCs w:val="21"/>
              </w:rPr>
              <w:t>表</w:t>
            </w:r>
            <w:r>
              <w:rPr>
                <w:rFonts w:ascii="宋体" w:hAnsi="宋体"/>
                <w:b/>
                <w:bCs/>
                <w:szCs w:val="21"/>
              </w:rPr>
              <w:t xml:space="preserve">4-3 </w:t>
            </w:r>
            <w:r>
              <w:rPr>
                <w:rFonts w:hint="eastAsia" w:ascii="宋体" w:hAnsi="宋体"/>
                <w:b/>
                <w:bCs/>
                <w:szCs w:val="21"/>
              </w:rPr>
              <w:t>对接管节相邻管径允许偏差</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85" w:type="dxa"/>
            <w:bottom w:w="0" w:type="dxa"/>
            <w:right w:w="85" w:type="dxa"/>
          </w:tblCellMar>
        </w:tblPrEx>
        <w:trPr>
          <w:cantSplit/>
          <w:trHeight w:val="425" w:hRule="exact"/>
        </w:trPr>
        <w:tc>
          <w:tcPr>
            <w:tcW w:w="2160" w:type="dxa"/>
            <w:tcBorders>
              <w:top w:val="double" w:color="auto" w:sz="4" w:space="0"/>
              <w:left w:val="double" w:color="auto" w:sz="4" w:space="0"/>
              <w:bottom w:val="double" w:color="auto" w:sz="4" w:space="0"/>
            </w:tcBorders>
            <w:vAlign w:val="center"/>
          </w:tcPr>
          <w:p>
            <w:pPr>
              <w:spacing w:line="360" w:lineRule="auto"/>
              <w:rPr>
                <w:rFonts w:ascii="宋体"/>
                <w:szCs w:val="21"/>
              </w:rPr>
            </w:pPr>
            <w:r>
              <w:rPr>
                <w:rFonts w:hint="eastAsia" w:ascii="宋体" w:hAnsi="宋体"/>
                <w:szCs w:val="21"/>
              </w:rPr>
              <w:t>相邻管径偏差</w:t>
            </w:r>
          </w:p>
        </w:tc>
        <w:tc>
          <w:tcPr>
            <w:tcW w:w="6997" w:type="dxa"/>
            <w:gridSpan w:val="3"/>
            <w:tcBorders>
              <w:top w:val="double" w:color="auto" w:sz="4" w:space="0"/>
              <w:bottom w:val="double" w:color="auto" w:sz="4" w:space="0"/>
              <w:right w:val="double" w:color="auto" w:sz="4" w:space="0"/>
            </w:tcBorders>
            <w:vAlign w:val="center"/>
          </w:tcPr>
          <w:p>
            <w:pPr>
              <w:spacing w:line="360" w:lineRule="auto"/>
              <w:jc w:val="center"/>
              <w:rPr>
                <w:rFonts w:ascii="宋体"/>
                <w:szCs w:val="21"/>
              </w:rPr>
            </w:pPr>
            <w:r>
              <w:rPr>
                <w:rFonts w:hint="eastAsia" w:ascii="宋体" w:hAnsi="宋体"/>
                <w:szCs w:val="21"/>
              </w:rPr>
              <w:t>直径差≤</w:t>
            </w:r>
            <w:r>
              <w:rPr>
                <w:rFonts w:ascii="宋体" w:hAnsi="宋体"/>
                <w:szCs w:val="21"/>
              </w:rPr>
              <w:t>3mm</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85" w:type="dxa"/>
            <w:bottom w:w="0" w:type="dxa"/>
            <w:right w:w="85" w:type="dxa"/>
          </w:tblCellMar>
        </w:tblPrEx>
        <w:trPr>
          <w:cantSplit/>
          <w:trHeight w:val="498" w:hRule="exact"/>
        </w:trPr>
        <w:tc>
          <w:tcPr>
            <w:tcW w:w="9157" w:type="dxa"/>
            <w:gridSpan w:val="4"/>
            <w:tcBorders>
              <w:top w:val="double" w:color="auto" w:sz="4" w:space="0"/>
              <w:left w:val="nil"/>
              <w:bottom w:val="double" w:color="auto" w:sz="4" w:space="0"/>
              <w:right w:val="nil"/>
            </w:tcBorders>
            <w:vAlign w:val="center"/>
          </w:tcPr>
          <w:p>
            <w:pPr>
              <w:spacing w:line="360" w:lineRule="auto"/>
              <w:jc w:val="center"/>
              <w:rPr>
                <w:rFonts w:ascii="宋体"/>
                <w:szCs w:val="21"/>
              </w:rPr>
            </w:pPr>
            <w:r>
              <w:rPr>
                <w:rFonts w:hint="eastAsia" w:ascii="宋体" w:hAnsi="宋体"/>
                <w:b/>
                <w:bCs/>
                <w:szCs w:val="21"/>
              </w:rPr>
              <w:t>表</w:t>
            </w:r>
            <w:r>
              <w:rPr>
                <w:rFonts w:ascii="宋体" w:hAnsi="宋体"/>
                <w:b/>
                <w:bCs/>
                <w:szCs w:val="21"/>
              </w:rPr>
              <w:t xml:space="preserve">4-4 </w:t>
            </w:r>
            <w:r>
              <w:rPr>
                <w:rFonts w:hint="eastAsia" w:ascii="宋体" w:hAnsi="宋体"/>
                <w:b/>
                <w:bCs/>
                <w:szCs w:val="21"/>
              </w:rPr>
              <w:t>相邻管节对口板边高差的允许偏差</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85" w:type="dxa"/>
            <w:bottom w:w="0" w:type="dxa"/>
            <w:right w:w="85" w:type="dxa"/>
          </w:tblCellMar>
        </w:tblPrEx>
        <w:trPr>
          <w:cantSplit/>
          <w:trHeight w:val="425" w:hRule="exact"/>
        </w:trPr>
        <w:tc>
          <w:tcPr>
            <w:tcW w:w="2160" w:type="dxa"/>
            <w:tcBorders>
              <w:top w:val="double" w:color="auto" w:sz="4" w:space="0"/>
              <w:left w:val="double" w:color="auto" w:sz="4" w:space="0"/>
              <w:bottom w:val="double" w:color="auto" w:sz="4" w:space="0"/>
            </w:tcBorders>
            <w:tcMar>
              <w:left w:w="85" w:type="dxa"/>
              <w:right w:w="85" w:type="dxa"/>
            </w:tcMar>
            <w:vAlign w:val="center"/>
          </w:tcPr>
          <w:p>
            <w:pPr>
              <w:spacing w:line="360" w:lineRule="auto"/>
              <w:rPr>
                <w:rFonts w:ascii="宋体"/>
                <w:szCs w:val="21"/>
              </w:rPr>
            </w:pPr>
            <w:r>
              <w:rPr>
                <w:rFonts w:hint="eastAsia" w:ascii="宋体" w:hAnsi="宋体"/>
                <w:szCs w:val="21"/>
              </w:rPr>
              <w:t>对口板边高差偏差</w:t>
            </w:r>
          </w:p>
        </w:tc>
        <w:tc>
          <w:tcPr>
            <w:tcW w:w="6997" w:type="dxa"/>
            <w:gridSpan w:val="3"/>
            <w:tcBorders>
              <w:top w:val="double" w:color="auto" w:sz="4" w:space="0"/>
              <w:bottom w:val="double" w:color="auto" w:sz="4" w:space="0"/>
              <w:right w:val="double" w:color="auto" w:sz="4" w:space="0"/>
            </w:tcBorders>
            <w:vAlign w:val="center"/>
          </w:tcPr>
          <w:p>
            <w:pPr>
              <w:spacing w:line="360" w:lineRule="auto"/>
              <w:jc w:val="center"/>
              <w:rPr>
                <w:rFonts w:ascii="宋体"/>
                <w:szCs w:val="21"/>
              </w:rPr>
            </w:pPr>
            <w:r>
              <w:rPr>
                <w:rFonts w:ascii="宋体" w:hAnsi="宋体"/>
                <w:szCs w:val="21"/>
              </w:rPr>
              <w:t>&lt;2mm</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85" w:type="dxa"/>
            <w:bottom w:w="0" w:type="dxa"/>
            <w:right w:w="85" w:type="dxa"/>
          </w:tblCellMar>
        </w:tblPrEx>
        <w:trPr>
          <w:cantSplit/>
          <w:trHeight w:val="527" w:hRule="exact"/>
        </w:trPr>
        <w:tc>
          <w:tcPr>
            <w:tcW w:w="9157" w:type="dxa"/>
            <w:gridSpan w:val="4"/>
            <w:tcBorders>
              <w:top w:val="double" w:color="auto" w:sz="4" w:space="0"/>
              <w:left w:val="nil"/>
              <w:bottom w:val="double" w:color="auto" w:sz="4" w:space="0"/>
              <w:right w:val="nil"/>
            </w:tcBorders>
            <w:tcMar>
              <w:left w:w="85" w:type="dxa"/>
              <w:right w:w="85" w:type="dxa"/>
            </w:tcMar>
            <w:vAlign w:val="center"/>
          </w:tcPr>
          <w:p>
            <w:pPr>
              <w:spacing w:line="360" w:lineRule="auto"/>
              <w:jc w:val="center"/>
              <w:rPr>
                <w:rFonts w:ascii="宋体"/>
                <w:bCs/>
                <w:sz w:val="24"/>
              </w:rPr>
            </w:pPr>
            <w:r>
              <w:rPr>
                <w:rFonts w:hint="eastAsia" w:ascii="宋体" w:hAnsi="宋体"/>
                <w:b/>
                <w:bCs/>
                <w:szCs w:val="21"/>
              </w:rPr>
              <w:t>表</w:t>
            </w:r>
            <w:r>
              <w:rPr>
                <w:rFonts w:ascii="宋体" w:hAnsi="宋体"/>
                <w:b/>
                <w:bCs/>
                <w:szCs w:val="21"/>
              </w:rPr>
              <w:t xml:space="preserve">4-5 </w:t>
            </w:r>
            <w:r>
              <w:rPr>
                <w:rFonts w:hint="eastAsia" w:ascii="宋体" w:hAnsi="宋体"/>
                <w:b/>
                <w:bCs/>
                <w:szCs w:val="21"/>
              </w:rPr>
              <w:t>焊缝外观允许偏差</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85" w:type="dxa"/>
            <w:bottom w:w="0" w:type="dxa"/>
            <w:right w:w="85" w:type="dxa"/>
          </w:tblCellMar>
        </w:tblPrEx>
        <w:trPr>
          <w:cantSplit/>
          <w:trHeight w:val="425" w:hRule="exact"/>
        </w:trPr>
        <w:tc>
          <w:tcPr>
            <w:tcW w:w="2700" w:type="dxa"/>
            <w:gridSpan w:val="2"/>
            <w:tcBorders>
              <w:top w:val="double" w:color="auto" w:sz="4" w:space="0"/>
              <w:left w:val="double" w:color="auto" w:sz="4" w:space="0"/>
            </w:tcBorders>
            <w:tcMar>
              <w:left w:w="85" w:type="dxa"/>
              <w:right w:w="85" w:type="dxa"/>
            </w:tcMar>
            <w:vAlign w:val="center"/>
          </w:tcPr>
          <w:p>
            <w:pPr>
              <w:spacing w:line="360" w:lineRule="auto"/>
              <w:jc w:val="center"/>
              <w:rPr>
                <w:rFonts w:ascii="宋体"/>
                <w:szCs w:val="21"/>
              </w:rPr>
            </w:pPr>
            <w:r>
              <w:rPr>
                <w:rFonts w:hint="eastAsia" w:ascii="宋体" w:hAnsi="宋体"/>
                <w:szCs w:val="21"/>
              </w:rPr>
              <w:t>缺陷名称</w:t>
            </w:r>
          </w:p>
        </w:tc>
        <w:tc>
          <w:tcPr>
            <w:tcW w:w="6457" w:type="dxa"/>
            <w:gridSpan w:val="2"/>
            <w:tcBorders>
              <w:top w:val="double" w:color="auto" w:sz="4" w:space="0"/>
              <w:right w:val="double" w:color="auto" w:sz="4" w:space="0"/>
            </w:tcBorders>
            <w:vAlign w:val="center"/>
          </w:tcPr>
          <w:p>
            <w:pPr>
              <w:spacing w:line="360" w:lineRule="auto"/>
              <w:jc w:val="center"/>
              <w:rPr>
                <w:rFonts w:ascii="宋体"/>
                <w:szCs w:val="21"/>
              </w:rPr>
            </w:pPr>
            <w:r>
              <w:rPr>
                <w:rFonts w:hint="eastAsia" w:ascii="宋体" w:hAnsi="宋体"/>
                <w:szCs w:val="21"/>
              </w:rPr>
              <w:t>允许偏差</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85" w:type="dxa"/>
            <w:bottom w:w="0" w:type="dxa"/>
            <w:right w:w="85" w:type="dxa"/>
          </w:tblCellMar>
        </w:tblPrEx>
        <w:trPr>
          <w:cantSplit/>
          <w:trHeight w:val="425" w:hRule="exact"/>
        </w:trPr>
        <w:tc>
          <w:tcPr>
            <w:tcW w:w="2700" w:type="dxa"/>
            <w:gridSpan w:val="2"/>
            <w:tcBorders>
              <w:left w:val="double" w:color="auto" w:sz="4" w:space="0"/>
            </w:tcBorders>
            <w:tcMar>
              <w:left w:w="85" w:type="dxa"/>
              <w:right w:w="85" w:type="dxa"/>
            </w:tcMar>
            <w:vAlign w:val="center"/>
          </w:tcPr>
          <w:p>
            <w:pPr>
              <w:spacing w:line="360" w:lineRule="auto"/>
              <w:rPr>
                <w:rFonts w:ascii="宋体"/>
                <w:szCs w:val="21"/>
              </w:rPr>
            </w:pPr>
            <w:r>
              <w:rPr>
                <w:rFonts w:hint="eastAsia" w:ascii="宋体" w:hAnsi="宋体"/>
                <w:szCs w:val="21"/>
              </w:rPr>
              <w:t>咬边</w:t>
            </w:r>
          </w:p>
        </w:tc>
        <w:tc>
          <w:tcPr>
            <w:tcW w:w="6457" w:type="dxa"/>
            <w:gridSpan w:val="2"/>
            <w:tcBorders>
              <w:right w:val="double" w:color="auto" w:sz="4" w:space="0"/>
            </w:tcBorders>
            <w:vAlign w:val="center"/>
          </w:tcPr>
          <w:p>
            <w:pPr>
              <w:spacing w:line="360" w:lineRule="auto"/>
              <w:rPr>
                <w:rFonts w:ascii="宋体"/>
                <w:szCs w:val="21"/>
              </w:rPr>
            </w:pPr>
            <w:r>
              <w:rPr>
                <w:rFonts w:hint="eastAsia" w:ascii="宋体" w:hAnsi="宋体"/>
                <w:szCs w:val="21"/>
              </w:rPr>
              <w:t>深度不超过</w:t>
            </w:r>
            <w:r>
              <w:rPr>
                <w:rFonts w:ascii="宋体" w:hAnsi="宋体"/>
                <w:szCs w:val="21"/>
              </w:rPr>
              <w:t>0.5mm</w:t>
            </w:r>
            <w:r>
              <w:rPr>
                <w:rFonts w:hint="eastAsia" w:ascii="宋体" w:hAnsi="宋体"/>
                <w:szCs w:val="21"/>
              </w:rPr>
              <w:t>，累计总长度不超过焊缝长度的</w:t>
            </w:r>
            <w:r>
              <w:rPr>
                <w:rFonts w:ascii="宋体" w:hAnsi="宋体"/>
                <w:szCs w:val="21"/>
              </w:rPr>
              <w:t>10%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85" w:type="dxa"/>
            <w:bottom w:w="0" w:type="dxa"/>
            <w:right w:w="85" w:type="dxa"/>
          </w:tblCellMar>
        </w:tblPrEx>
        <w:trPr>
          <w:cantSplit/>
          <w:trHeight w:val="425" w:hRule="exact"/>
        </w:trPr>
        <w:tc>
          <w:tcPr>
            <w:tcW w:w="2700" w:type="dxa"/>
            <w:gridSpan w:val="2"/>
            <w:tcBorders>
              <w:left w:val="double" w:color="auto" w:sz="4" w:space="0"/>
            </w:tcBorders>
            <w:tcMar>
              <w:left w:w="85" w:type="dxa"/>
              <w:right w:w="85" w:type="dxa"/>
            </w:tcMar>
            <w:vAlign w:val="center"/>
          </w:tcPr>
          <w:p>
            <w:pPr>
              <w:spacing w:line="360" w:lineRule="auto"/>
              <w:rPr>
                <w:rFonts w:ascii="宋体"/>
                <w:szCs w:val="21"/>
              </w:rPr>
            </w:pPr>
            <w:r>
              <w:rPr>
                <w:rFonts w:hint="eastAsia" w:ascii="宋体" w:hAnsi="宋体"/>
                <w:szCs w:val="21"/>
              </w:rPr>
              <w:t>超高</w:t>
            </w:r>
          </w:p>
        </w:tc>
        <w:tc>
          <w:tcPr>
            <w:tcW w:w="6457" w:type="dxa"/>
            <w:gridSpan w:val="2"/>
            <w:tcBorders>
              <w:right w:val="double" w:color="auto" w:sz="4" w:space="0"/>
            </w:tcBorders>
            <w:vAlign w:val="center"/>
          </w:tcPr>
          <w:p>
            <w:pPr>
              <w:spacing w:line="360" w:lineRule="auto"/>
              <w:rPr>
                <w:rFonts w:ascii="宋体"/>
                <w:szCs w:val="21"/>
              </w:rPr>
            </w:pPr>
            <w:r>
              <w:rPr>
                <w:rFonts w:ascii="宋体" w:hAnsi="宋体"/>
                <w:szCs w:val="21"/>
              </w:rPr>
              <w:t>3mm</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85" w:type="dxa"/>
            <w:bottom w:w="0" w:type="dxa"/>
            <w:right w:w="85" w:type="dxa"/>
          </w:tblCellMar>
        </w:tblPrEx>
        <w:trPr>
          <w:cantSplit/>
          <w:trHeight w:val="425" w:hRule="exact"/>
        </w:trPr>
        <w:tc>
          <w:tcPr>
            <w:tcW w:w="2700" w:type="dxa"/>
            <w:gridSpan w:val="2"/>
            <w:tcBorders>
              <w:left w:val="double" w:color="auto" w:sz="4" w:space="0"/>
            </w:tcBorders>
            <w:tcMar>
              <w:left w:w="85" w:type="dxa"/>
              <w:right w:w="85" w:type="dxa"/>
            </w:tcMar>
            <w:vAlign w:val="center"/>
          </w:tcPr>
          <w:p>
            <w:pPr>
              <w:spacing w:line="360" w:lineRule="auto"/>
              <w:rPr>
                <w:rFonts w:ascii="宋体"/>
                <w:szCs w:val="21"/>
              </w:rPr>
            </w:pPr>
            <w:r>
              <w:rPr>
                <w:rFonts w:hint="eastAsia" w:ascii="宋体" w:hAnsi="宋体"/>
                <w:szCs w:val="21"/>
              </w:rPr>
              <w:t>表面裂缝、未熔合、未焊透</w:t>
            </w:r>
          </w:p>
        </w:tc>
        <w:tc>
          <w:tcPr>
            <w:tcW w:w="6457" w:type="dxa"/>
            <w:gridSpan w:val="2"/>
            <w:tcBorders>
              <w:right w:val="double" w:color="auto" w:sz="4" w:space="0"/>
            </w:tcBorders>
            <w:vAlign w:val="center"/>
          </w:tcPr>
          <w:p>
            <w:pPr>
              <w:spacing w:line="360" w:lineRule="auto"/>
              <w:ind w:left="71" w:leftChars="34"/>
              <w:rPr>
                <w:rFonts w:ascii="宋体"/>
                <w:szCs w:val="21"/>
              </w:rPr>
            </w:pPr>
            <w:r>
              <w:rPr>
                <w:rFonts w:hint="eastAsia" w:ascii="宋体" w:hAnsi="宋体"/>
                <w:szCs w:val="21"/>
              </w:rPr>
              <w:t>不允许</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85" w:type="dxa"/>
            <w:bottom w:w="0" w:type="dxa"/>
            <w:right w:w="85" w:type="dxa"/>
          </w:tblCellMar>
        </w:tblPrEx>
        <w:trPr>
          <w:cantSplit/>
          <w:trHeight w:val="425" w:hRule="exact"/>
        </w:trPr>
        <w:tc>
          <w:tcPr>
            <w:tcW w:w="2700" w:type="dxa"/>
            <w:gridSpan w:val="2"/>
            <w:tcBorders>
              <w:left w:val="double" w:color="auto" w:sz="4" w:space="0"/>
              <w:bottom w:val="double" w:color="auto" w:sz="4" w:space="0"/>
            </w:tcBorders>
            <w:tcMar>
              <w:left w:w="85" w:type="dxa"/>
              <w:right w:w="85" w:type="dxa"/>
            </w:tcMar>
            <w:vAlign w:val="center"/>
          </w:tcPr>
          <w:p>
            <w:pPr>
              <w:spacing w:line="360" w:lineRule="auto"/>
              <w:rPr>
                <w:rFonts w:ascii="宋体"/>
                <w:szCs w:val="21"/>
              </w:rPr>
            </w:pPr>
            <w:r>
              <w:rPr>
                <w:rFonts w:hint="eastAsia" w:ascii="宋体" w:hAnsi="宋体"/>
                <w:szCs w:val="21"/>
              </w:rPr>
              <w:t>弧坑、表面气孔、夹渣</w:t>
            </w:r>
          </w:p>
        </w:tc>
        <w:tc>
          <w:tcPr>
            <w:tcW w:w="6457" w:type="dxa"/>
            <w:gridSpan w:val="2"/>
            <w:tcBorders>
              <w:bottom w:val="double" w:color="auto" w:sz="4" w:space="0"/>
              <w:right w:val="double" w:color="auto" w:sz="4" w:space="0"/>
            </w:tcBorders>
            <w:vAlign w:val="center"/>
          </w:tcPr>
          <w:p>
            <w:pPr>
              <w:spacing w:line="360" w:lineRule="auto"/>
              <w:rPr>
                <w:rFonts w:ascii="宋体"/>
                <w:szCs w:val="21"/>
              </w:rPr>
            </w:pPr>
            <w:r>
              <w:rPr>
                <w:rFonts w:hint="eastAsia" w:ascii="宋体" w:hAnsi="宋体"/>
                <w:szCs w:val="21"/>
              </w:rPr>
              <w:t>不允许</w:t>
            </w:r>
          </w:p>
        </w:tc>
      </w:tr>
    </w:tbl>
    <w:p>
      <w:pPr>
        <w:spacing w:line="360" w:lineRule="auto"/>
        <w:ind w:firstLine="480" w:firstLineChars="200"/>
        <w:rPr>
          <w:rFonts w:ascii="宋体"/>
          <w:bCs/>
          <w:sz w:val="24"/>
          <w:szCs w:val="28"/>
        </w:rPr>
      </w:pPr>
      <w:r>
        <w:rPr>
          <w:rFonts w:ascii="宋体" w:hAnsi="宋体"/>
          <w:bCs/>
          <w:sz w:val="24"/>
          <w:szCs w:val="28"/>
        </w:rPr>
        <w:t>3</w:t>
      </w:r>
      <w:r>
        <w:rPr>
          <w:rFonts w:hint="eastAsia" w:ascii="宋体" w:hAnsi="宋体"/>
          <w:bCs/>
          <w:sz w:val="24"/>
          <w:szCs w:val="28"/>
        </w:rPr>
        <w:t>、钢护筒的运输</w:t>
      </w:r>
    </w:p>
    <w:p>
      <w:pPr>
        <w:spacing w:line="360" w:lineRule="auto"/>
        <w:ind w:firstLine="480" w:firstLineChars="200"/>
        <w:rPr>
          <w:rFonts w:ascii="宋体"/>
          <w:bCs/>
          <w:sz w:val="24"/>
          <w:szCs w:val="28"/>
        </w:rPr>
      </w:pPr>
      <w:r>
        <w:rPr>
          <w:rFonts w:hint="eastAsia" w:ascii="宋体" w:hAnsi="宋体"/>
          <w:bCs/>
          <w:sz w:val="24"/>
          <w:szCs w:val="28"/>
        </w:rPr>
        <w:t>钢护筒加工完毕并经工厂质检人员验收合格后，采用板车将钢护筒运到场地附近。由于护筒直径大，为防止钢护筒在运输过程出现失圆，在钢护筒的上、下口及中间位置焊接十字（或米字）支撑，增强钢护筒抗变形能力。</w:t>
      </w:r>
      <w:r>
        <w:rPr>
          <w:rFonts w:ascii="宋体" w:hAnsi="宋体"/>
          <w:bCs/>
          <w:sz w:val="24"/>
          <w:szCs w:val="28"/>
        </w:rPr>
        <w:t xml:space="preserve"> </w:t>
      </w:r>
      <w:r>
        <w:rPr>
          <w:rFonts w:hint="eastAsia" w:ascii="宋体" w:hAnsi="宋体"/>
          <w:bCs/>
          <w:sz w:val="24"/>
          <w:szCs w:val="28"/>
        </w:rPr>
        <w:t>钢护筒运到工地后应进行验收检查，验收标准同上表。</w:t>
      </w:r>
    </w:p>
    <w:p>
      <w:pPr>
        <w:spacing w:line="360" w:lineRule="auto"/>
        <w:jc w:val="center"/>
        <w:outlineLvl w:val="1"/>
        <w:rPr>
          <w:rFonts w:ascii="宋体"/>
          <w:b/>
          <w:sz w:val="32"/>
          <w:szCs w:val="32"/>
        </w:rPr>
      </w:pPr>
      <w:bookmarkStart w:id="50" w:name="_Toc350517636"/>
    </w:p>
    <w:p>
      <w:pPr>
        <w:spacing w:line="360" w:lineRule="auto"/>
        <w:jc w:val="center"/>
        <w:outlineLvl w:val="1"/>
        <w:rPr>
          <w:rFonts w:ascii="宋体"/>
          <w:b/>
          <w:sz w:val="32"/>
          <w:szCs w:val="32"/>
        </w:rPr>
      </w:pPr>
    </w:p>
    <w:p>
      <w:pPr>
        <w:spacing w:line="360" w:lineRule="auto"/>
        <w:jc w:val="center"/>
        <w:outlineLvl w:val="1"/>
        <w:rPr>
          <w:rFonts w:ascii="宋体"/>
          <w:b/>
          <w:sz w:val="32"/>
          <w:szCs w:val="32"/>
        </w:rPr>
      </w:pPr>
    </w:p>
    <w:p>
      <w:pPr>
        <w:spacing w:line="360" w:lineRule="auto"/>
        <w:jc w:val="center"/>
        <w:outlineLvl w:val="1"/>
        <w:rPr>
          <w:rFonts w:ascii="宋体"/>
          <w:b/>
          <w:sz w:val="32"/>
          <w:szCs w:val="32"/>
        </w:rPr>
      </w:pPr>
    </w:p>
    <w:p>
      <w:pPr>
        <w:spacing w:line="360" w:lineRule="auto"/>
        <w:jc w:val="center"/>
        <w:outlineLvl w:val="1"/>
        <w:rPr>
          <w:rFonts w:ascii="宋体"/>
          <w:b/>
          <w:sz w:val="32"/>
          <w:szCs w:val="32"/>
        </w:rPr>
      </w:pPr>
    </w:p>
    <w:p>
      <w:pPr>
        <w:spacing w:line="360" w:lineRule="auto"/>
        <w:jc w:val="center"/>
        <w:outlineLvl w:val="1"/>
        <w:rPr>
          <w:rFonts w:ascii="宋体"/>
          <w:b/>
          <w:sz w:val="32"/>
          <w:szCs w:val="32"/>
        </w:rPr>
      </w:pPr>
    </w:p>
    <w:p>
      <w:pPr>
        <w:spacing w:line="360" w:lineRule="auto"/>
        <w:jc w:val="center"/>
        <w:outlineLvl w:val="1"/>
        <w:rPr>
          <w:rFonts w:ascii="宋体"/>
          <w:b/>
          <w:sz w:val="32"/>
          <w:szCs w:val="32"/>
        </w:rPr>
      </w:pPr>
    </w:p>
    <w:p>
      <w:pPr>
        <w:spacing w:line="360" w:lineRule="auto"/>
        <w:jc w:val="center"/>
        <w:outlineLvl w:val="1"/>
        <w:rPr>
          <w:rFonts w:ascii="宋体"/>
          <w:b/>
          <w:sz w:val="32"/>
          <w:szCs w:val="32"/>
        </w:rPr>
      </w:pPr>
      <w:bookmarkStart w:id="51" w:name="_Toc353351881"/>
      <w:r>
        <w:rPr>
          <w:rFonts w:hint="eastAsia" w:ascii="宋体" w:hAnsi="宋体"/>
          <w:b/>
          <w:sz w:val="32"/>
          <w:szCs w:val="32"/>
        </w:rPr>
        <w:t>第五章</w:t>
      </w:r>
      <w:r>
        <w:rPr>
          <w:rFonts w:ascii="宋体" w:hAnsi="宋体"/>
          <w:b/>
          <w:sz w:val="32"/>
          <w:szCs w:val="32"/>
        </w:rPr>
        <w:t xml:space="preserve"> </w:t>
      </w:r>
      <w:r>
        <w:rPr>
          <w:rFonts w:hint="eastAsia" w:ascii="宋体" w:hAnsi="宋体"/>
          <w:b/>
          <w:sz w:val="32"/>
          <w:szCs w:val="32"/>
        </w:rPr>
        <w:t>钻孔施工</w:t>
      </w:r>
      <w:bookmarkEnd w:id="50"/>
      <w:bookmarkEnd w:id="51"/>
    </w:p>
    <w:p>
      <w:pPr>
        <w:spacing w:line="360" w:lineRule="auto"/>
        <w:jc w:val="left"/>
        <w:outlineLvl w:val="2"/>
        <w:rPr>
          <w:rFonts w:ascii="宋体"/>
          <w:b/>
          <w:sz w:val="28"/>
          <w:szCs w:val="28"/>
        </w:rPr>
      </w:pPr>
      <w:bookmarkStart w:id="52" w:name="_Toc353351882"/>
      <w:r>
        <w:rPr>
          <w:rFonts w:ascii="宋体" w:hAnsi="宋体"/>
          <w:b/>
          <w:sz w:val="28"/>
          <w:szCs w:val="28"/>
        </w:rPr>
        <w:t>5.1</w:t>
      </w:r>
      <w:r>
        <w:rPr>
          <w:rFonts w:hint="eastAsia" w:ascii="宋体" w:hAnsi="宋体"/>
          <w:b/>
          <w:sz w:val="28"/>
          <w:szCs w:val="28"/>
        </w:rPr>
        <w:t>钻孔</w:t>
      </w:r>
      <w:bookmarkEnd w:id="52"/>
    </w:p>
    <w:p>
      <w:pPr>
        <w:widowControl/>
        <w:shd w:val="clear" w:color="auto" w:fill="FFFFFF"/>
        <w:adjustRightInd w:val="0"/>
        <w:snapToGrid w:val="0"/>
        <w:spacing w:line="360" w:lineRule="auto"/>
        <w:ind w:firstLine="480" w:firstLineChars="200"/>
        <w:jc w:val="left"/>
        <w:rPr>
          <w:rFonts w:ascii="宋体" w:cs="宋体"/>
          <w:color w:val="000000"/>
          <w:kern w:val="0"/>
          <w:sz w:val="24"/>
        </w:rPr>
      </w:pPr>
      <w:r>
        <w:rPr>
          <w:rFonts w:hint="eastAsia" w:ascii="宋体" w:hAnsi="宋体" w:cs="宋体"/>
          <w:color w:val="000000"/>
          <w:kern w:val="0"/>
          <w:sz w:val="24"/>
        </w:rPr>
        <w:t>钻孔过程中根据地质情况选择钻头型式以及控制进尺速度。钻头提升过程中，回转斗的底盘斗门必须保证处于关闭状态，以防止回转斗内砂土或粘土落入护壁泥浆中，破坏泥浆的配比。每个工作循环严格控制钻进尺度，避免埋钻事故。同时适当控制回转斗的提升速度，如果提升速度过快，泥浆在回转斗与孔壁之间高速流过，冲刷孔壁，破坏泥皮，对孔壁的稳定不利，容易引起坍塌。尤其是遇到软土地区，易出现缩孔或塌孔的地区，钻进过程中应每进尺控制在</w:t>
      </w:r>
      <w:r>
        <w:rPr>
          <w:rFonts w:ascii="宋体" w:hAnsi="宋体" w:cs="宋体"/>
          <w:color w:val="000000"/>
          <w:kern w:val="0"/>
          <w:sz w:val="24"/>
        </w:rPr>
        <w:t>30cm</w:t>
      </w:r>
      <w:r>
        <w:rPr>
          <w:rFonts w:hint="eastAsia" w:ascii="宋体" w:hAnsi="宋体" w:cs="宋体"/>
          <w:color w:val="000000"/>
          <w:kern w:val="0"/>
          <w:sz w:val="24"/>
        </w:rPr>
        <w:t>左右，缓慢的提升钻头，能有效控制缩孔，预防塌孔。</w:t>
      </w:r>
    </w:p>
    <w:p>
      <w:pPr>
        <w:widowControl/>
        <w:shd w:val="clear" w:color="auto" w:fill="FFFFFF"/>
        <w:adjustRightInd w:val="0"/>
        <w:snapToGrid w:val="0"/>
        <w:spacing w:line="360" w:lineRule="auto"/>
        <w:ind w:firstLine="480" w:firstLineChars="200"/>
        <w:jc w:val="left"/>
        <w:rPr>
          <w:rFonts w:ascii="宋体" w:cs="宋体"/>
          <w:color w:val="000000"/>
          <w:kern w:val="0"/>
          <w:sz w:val="24"/>
        </w:rPr>
      </w:pPr>
      <w:r>
        <w:rPr>
          <w:rFonts w:hint="eastAsia" w:ascii="宋体" w:hAnsi="宋体" w:cs="宋体"/>
          <w:color w:val="000000"/>
          <w:kern w:val="0"/>
          <w:sz w:val="24"/>
        </w:rPr>
        <w:t>开钻前要求在护筒内存进适量泥浆，并调制足够数量的泥浆作储备。钻进过程中如泥浆有损耗、漏失，须及时、直接向孔中补充新浆。</w:t>
      </w:r>
    </w:p>
    <w:p>
      <w:pPr>
        <w:spacing w:line="360" w:lineRule="auto"/>
        <w:ind w:firstLine="352" w:firstLineChars="146"/>
        <w:jc w:val="left"/>
        <w:rPr>
          <w:rFonts w:ascii="宋体"/>
          <w:b/>
          <w:sz w:val="24"/>
        </w:rPr>
      </w:pPr>
      <w:r>
        <w:rPr>
          <w:rFonts w:ascii="宋体" w:hAnsi="宋体"/>
          <w:b/>
          <w:sz w:val="24"/>
        </w:rPr>
        <w:t xml:space="preserve">5.1.1 </w:t>
      </w:r>
      <w:r>
        <w:rPr>
          <w:rFonts w:hint="eastAsia" w:ascii="宋体" w:hAnsi="宋体"/>
          <w:b/>
          <w:sz w:val="24"/>
        </w:rPr>
        <w:t>覆盖层中钻进</w:t>
      </w:r>
    </w:p>
    <w:p>
      <w:pPr>
        <w:spacing w:line="360" w:lineRule="auto"/>
        <w:ind w:firstLine="480" w:firstLineChars="200"/>
        <w:jc w:val="left"/>
        <w:rPr>
          <w:rFonts w:ascii="宋体"/>
          <w:sz w:val="24"/>
        </w:rPr>
      </w:pPr>
      <w:r>
        <w:rPr>
          <w:rFonts w:hint="eastAsia" w:ascii="宋体" w:hAnsi="宋体"/>
          <w:sz w:val="24"/>
        </w:rPr>
        <w:t>覆盖层中正常钻进其钻压、转速、进尺速度见附表：</w:t>
      </w:r>
    </w:p>
    <w:p>
      <w:pPr>
        <w:spacing w:line="360" w:lineRule="auto"/>
        <w:ind w:firstLine="632" w:firstLineChars="300"/>
        <w:jc w:val="center"/>
        <w:rPr>
          <w:rFonts w:ascii="宋体"/>
          <w:b/>
          <w:szCs w:val="21"/>
        </w:rPr>
      </w:pPr>
      <w:r>
        <w:rPr>
          <w:rFonts w:hint="eastAsia" w:ascii="宋体" w:hAnsi="宋体"/>
          <w:b/>
          <w:szCs w:val="21"/>
        </w:rPr>
        <w:t>表</w:t>
      </w:r>
      <w:r>
        <w:rPr>
          <w:rFonts w:ascii="宋体" w:hAnsi="宋体"/>
          <w:b/>
          <w:szCs w:val="21"/>
        </w:rPr>
        <w:t xml:space="preserve">5-1 </w:t>
      </w:r>
      <w:r>
        <w:rPr>
          <w:rFonts w:hint="eastAsia" w:ascii="宋体" w:hAnsi="宋体"/>
          <w:b/>
          <w:szCs w:val="21"/>
        </w:rPr>
        <w:t>覆盖层中钻压、转速、进尺速度参考表</w:t>
      </w:r>
    </w:p>
    <w:tbl>
      <w:tblPr>
        <w:tblStyle w:val="29"/>
        <w:tblW w:w="8535" w:type="dxa"/>
        <w:tblInd w:w="468"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0"/>
        <w:gridCol w:w="1260"/>
        <w:gridCol w:w="1440"/>
        <w:gridCol w:w="1623"/>
        <w:gridCol w:w="1841"/>
        <w:gridCol w:w="931"/>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8" w:hRule="atLeast"/>
        </w:trPr>
        <w:tc>
          <w:tcPr>
            <w:tcW w:w="1440" w:type="dxa"/>
            <w:tcBorders>
              <w:top w:val="double" w:color="auto" w:sz="4" w:space="0"/>
            </w:tcBorders>
            <w:vAlign w:val="center"/>
          </w:tcPr>
          <w:p>
            <w:pPr>
              <w:spacing w:line="360" w:lineRule="auto"/>
              <w:jc w:val="center"/>
              <w:rPr>
                <w:rFonts w:ascii="宋体"/>
                <w:szCs w:val="21"/>
              </w:rPr>
            </w:pPr>
            <w:r>
              <w:rPr>
                <w:rFonts w:hint="eastAsia" w:ascii="宋体" w:hAnsi="宋体"/>
                <w:szCs w:val="21"/>
              </w:rPr>
              <w:t>地质名称</w:t>
            </w:r>
          </w:p>
        </w:tc>
        <w:tc>
          <w:tcPr>
            <w:tcW w:w="1260" w:type="dxa"/>
            <w:tcBorders>
              <w:top w:val="double" w:color="auto" w:sz="4" w:space="0"/>
            </w:tcBorders>
            <w:vAlign w:val="center"/>
          </w:tcPr>
          <w:p>
            <w:pPr>
              <w:spacing w:line="360" w:lineRule="auto"/>
              <w:jc w:val="center"/>
              <w:rPr>
                <w:rFonts w:ascii="宋体"/>
                <w:szCs w:val="21"/>
              </w:rPr>
            </w:pPr>
            <w:r>
              <w:rPr>
                <w:rFonts w:hint="eastAsia" w:ascii="宋体" w:hAnsi="宋体"/>
                <w:szCs w:val="21"/>
              </w:rPr>
              <w:t>刀具种类</w:t>
            </w:r>
          </w:p>
        </w:tc>
        <w:tc>
          <w:tcPr>
            <w:tcW w:w="1440" w:type="dxa"/>
            <w:tcBorders>
              <w:top w:val="double" w:color="auto" w:sz="4" w:space="0"/>
            </w:tcBorders>
            <w:vAlign w:val="center"/>
          </w:tcPr>
          <w:p>
            <w:pPr>
              <w:spacing w:line="360" w:lineRule="auto"/>
              <w:jc w:val="center"/>
              <w:rPr>
                <w:rFonts w:ascii="宋体"/>
                <w:szCs w:val="21"/>
              </w:rPr>
            </w:pPr>
            <w:r>
              <w:rPr>
                <w:rFonts w:hint="eastAsia" w:ascii="宋体" w:hAnsi="宋体"/>
                <w:szCs w:val="21"/>
              </w:rPr>
              <w:t>钻压（</w:t>
            </w:r>
            <w:r>
              <w:rPr>
                <w:rFonts w:ascii="宋体" w:hAnsi="宋体"/>
                <w:szCs w:val="21"/>
              </w:rPr>
              <w:t>t</w:t>
            </w:r>
            <w:r>
              <w:rPr>
                <w:rFonts w:hint="eastAsia" w:ascii="宋体" w:hAnsi="宋体"/>
                <w:szCs w:val="21"/>
              </w:rPr>
              <w:t>）</w:t>
            </w:r>
          </w:p>
        </w:tc>
        <w:tc>
          <w:tcPr>
            <w:tcW w:w="1623" w:type="dxa"/>
            <w:tcBorders>
              <w:top w:val="double" w:color="auto" w:sz="4" w:space="0"/>
            </w:tcBorders>
            <w:vAlign w:val="center"/>
          </w:tcPr>
          <w:p>
            <w:pPr>
              <w:spacing w:line="360" w:lineRule="auto"/>
              <w:jc w:val="center"/>
              <w:rPr>
                <w:rFonts w:ascii="宋体"/>
                <w:szCs w:val="21"/>
              </w:rPr>
            </w:pPr>
            <w:r>
              <w:rPr>
                <w:rFonts w:hint="eastAsia" w:ascii="宋体" w:hAnsi="宋体"/>
                <w:szCs w:val="21"/>
              </w:rPr>
              <w:t>转速（</w:t>
            </w:r>
            <w:r>
              <w:rPr>
                <w:rFonts w:ascii="宋体" w:hAnsi="宋体"/>
                <w:szCs w:val="21"/>
              </w:rPr>
              <w:t>r/min</w:t>
            </w:r>
            <w:r>
              <w:rPr>
                <w:rFonts w:hint="eastAsia" w:ascii="宋体" w:hAnsi="宋体"/>
                <w:szCs w:val="21"/>
              </w:rPr>
              <w:t>）</w:t>
            </w:r>
          </w:p>
        </w:tc>
        <w:tc>
          <w:tcPr>
            <w:tcW w:w="1841" w:type="dxa"/>
            <w:tcBorders>
              <w:top w:val="double" w:color="auto" w:sz="4" w:space="0"/>
            </w:tcBorders>
            <w:vAlign w:val="center"/>
          </w:tcPr>
          <w:p>
            <w:pPr>
              <w:spacing w:line="360" w:lineRule="auto"/>
              <w:jc w:val="center"/>
              <w:rPr>
                <w:rFonts w:ascii="宋体"/>
                <w:szCs w:val="21"/>
              </w:rPr>
            </w:pPr>
            <w:r>
              <w:rPr>
                <w:rFonts w:hint="eastAsia" w:ascii="宋体" w:hAnsi="宋体"/>
                <w:szCs w:val="21"/>
              </w:rPr>
              <w:t>进尺速度（</w:t>
            </w:r>
            <w:r>
              <w:rPr>
                <w:rFonts w:ascii="宋体" w:hAnsi="宋体"/>
                <w:szCs w:val="21"/>
              </w:rPr>
              <w:t>m/h</w:t>
            </w:r>
            <w:r>
              <w:rPr>
                <w:rFonts w:hint="eastAsia" w:ascii="宋体" w:hAnsi="宋体"/>
                <w:szCs w:val="21"/>
              </w:rPr>
              <w:t>）</w:t>
            </w:r>
          </w:p>
        </w:tc>
        <w:tc>
          <w:tcPr>
            <w:tcW w:w="931" w:type="dxa"/>
            <w:tcBorders>
              <w:top w:val="double" w:color="auto" w:sz="4" w:space="0"/>
            </w:tcBorders>
            <w:vAlign w:val="center"/>
          </w:tcPr>
          <w:p>
            <w:pPr>
              <w:spacing w:line="360" w:lineRule="auto"/>
              <w:jc w:val="center"/>
              <w:rPr>
                <w:rFonts w:ascii="宋体"/>
                <w:szCs w:val="21"/>
              </w:rPr>
            </w:pPr>
            <w:r>
              <w:rPr>
                <w:rFonts w:hint="eastAsia" w:ascii="宋体" w:hAnsi="宋体"/>
                <w:szCs w:val="21"/>
              </w:rPr>
              <w:t>附</w:t>
            </w:r>
            <w:r>
              <w:rPr>
                <w:rFonts w:ascii="宋体" w:hAnsi="宋体"/>
                <w:szCs w:val="21"/>
              </w:rPr>
              <w:t xml:space="preserve"> </w:t>
            </w:r>
            <w:r>
              <w:rPr>
                <w:rFonts w:hint="eastAsia" w:ascii="宋体" w:hAnsi="宋体"/>
                <w:szCs w:val="21"/>
              </w:rPr>
              <w:t>注</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7" w:hRule="atLeast"/>
        </w:trPr>
        <w:tc>
          <w:tcPr>
            <w:tcW w:w="1440" w:type="dxa"/>
            <w:vAlign w:val="center"/>
          </w:tcPr>
          <w:p>
            <w:pPr>
              <w:spacing w:line="360" w:lineRule="auto"/>
              <w:jc w:val="center"/>
              <w:rPr>
                <w:rFonts w:hint="eastAsia" w:ascii="宋体" w:eastAsia="宋体"/>
                <w:szCs w:val="21"/>
                <w:lang w:eastAsia="zh-CN"/>
              </w:rPr>
            </w:pPr>
            <w:r>
              <w:rPr>
                <w:rFonts w:hint="eastAsia" w:ascii="宋体" w:hAnsi="宋体"/>
                <w:szCs w:val="21"/>
                <w:lang w:eastAsia="zh-CN"/>
              </w:rPr>
              <w:t>粉质粘土</w:t>
            </w:r>
          </w:p>
        </w:tc>
        <w:tc>
          <w:tcPr>
            <w:tcW w:w="1260" w:type="dxa"/>
            <w:vAlign w:val="center"/>
          </w:tcPr>
          <w:p>
            <w:pPr>
              <w:spacing w:line="360" w:lineRule="auto"/>
              <w:jc w:val="center"/>
              <w:rPr>
                <w:rFonts w:ascii="宋体"/>
                <w:szCs w:val="21"/>
              </w:rPr>
            </w:pPr>
            <w:r>
              <w:rPr>
                <w:rFonts w:hint="eastAsia" w:ascii="宋体" w:hAnsi="宋体"/>
                <w:szCs w:val="21"/>
              </w:rPr>
              <w:t>刮刀钻头</w:t>
            </w:r>
          </w:p>
        </w:tc>
        <w:tc>
          <w:tcPr>
            <w:tcW w:w="1440" w:type="dxa"/>
            <w:vAlign w:val="center"/>
          </w:tcPr>
          <w:p>
            <w:pPr>
              <w:spacing w:line="360" w:lineRule="auto"/>
              <w:jc w:val="center"/>
              <w:rPr>
                <w:rFonts w:ascii="宋体"/>
                <w:szCs w:val="21"/>
              </w:rPr>
            </w:pPr>
            <w:r>
              <w:rPr>
                <w:rFonts w:ascii="宋体" w:hAnsi="宋体"/>
                <w:szCs w:val="21"/>
              </w:rPr>
              <w:t>10</w:t>
            </w:r>
            <w:r>
              <w:rPr>
                <w:rFonts w:hint="eastAsia" w:ascii="宋体" w:hAnsi="宋体"/>
                <w:szCs w:val="21"/>
              </w:rPr>
              <w:t>～</w:t>
            </w:r>
            <w:r>
              <w:rPr>
                <w:rFonts w:ascii="宋体" w:hAnsi="宋体"/>
                <w:szCs w:val="21"/>
              </w:rPr>
              <w:t>15</w:t>
            </w:r>
          </w:p>
        </w:tc>
        <w:tc>
          <w:tcPr>
            <w:tcW w:w="1623" w:type="dxa"/>
            <w:vAlign w:val="center"/>
          </w:tcPr>
          <w:p>
            <w:pPr>
              <w:spacing w:line="360" w:lineRule="auto"/>
              <w:jc w:val="center"/>
              <w:rPr>
                <w:rFonts w:ascii="宋体"/>
                <w:szCs w:val="21"/>
              </w:rPr>
            </w:pPr>
            <w:r>
              <w:rPr>
                <w:rFonts w:ascii="宋体" w:hAnsi="宋体"/>
                <w:szCs w:val="21"/>
              </w:rPr>
              <w:t>6</w:t>
            </w:r>
            <w:r>
              <w:rPr>
                <w:rFonts w:hint="eastAsia" w:ascii="宋体" w:hAnsi="宋体"/>
                <w:szCs w:val="21"/>
              </w:rPr>
              <w:t>～</w:t>
            </w:r>
            <w:r>
              <w:rPr>
                <w:rFonts w:ascii="宋体" w:hAnsi="宋体"/>
                <w:szCs w:val="21"/>
              </w:rPr>
              <w:t>8</w:t>
            </w:r>
          </w:p>
        </w:tc>
        <w:tc>
          <w:tcPr>
            <w:tcW w:w="1841" w:type="dxa"/>
            <w:vAlign w:val="center"/>
          </w:tcPr>
          <w:p>
            <w:pPr>
              <w:spacing w:line="360" w:lineRule="auto"/>
              <w:jc w:val="center"/>
              <w:rPr>
                <w:rFonts w:ascii="宋体"/>
                <w:szCs w:val="21"/>
              </w:rPr>
            </w:pPr>
            <w:r>
              <w:rPr>
                <w:rFonts w:hint="eastAsia" w:ascii="宋体" w:hAnsi="宋体"/>
                <w:szCs w:val="21"/>
                <w:lang w:val="en-US" w:eastAsia="zh-CN"/>
              </w:rPr>
              <w:t>10</w:t>
            </w:r>
            <w:r>
              <w:rPr>
                <w:rFonts w:hint="eastAsia" w:ascii="宋体" w:hAnsi="宋体"/>
                <w:szCs w:val="21"/>
              </w:rPr>
              <w:t>～</w:t>
            </w:r>
            <w:r>
              <w:rPr>
                <w:rFonts w:hint="eastAsia" w:ascii="宋体" w:hAnsi="宋体"/>
                <w:szCs w:val="21"/>
                <w:lang w:val="en-US" w:eastAsia="zh-CN"/>
              </w:rPr>
              <w:t>20</w:t>
            </w:r>
          </w:p>
        </w:tc>
        <w:tc>
          <w:tcPr>
            <w:tcW w:w="931" w:type="dxa"/>
            <w:vAlign w:val="center"/>
          </w:tcPr>
          <w:p>
            <w:pPr>
              <w:spacing w:line="360" w:lineRule="auto"/>
              <w:jc w:val="center"/>
              <w:rPr>
                <w:rFonts w:ascii="宋体"/>
                <w:szCs w:val="21"/>
              </w:rPr>
            </w:pPr>
          </w:p>
        </w:tc>
      </w:tr>
    </w:tbl>
    <w:p>
      <w:pPr>
        <w:spacing w:line="360" w:lineRule="auto"/>
        <w:ind w:firstLine="480" w:firstLineChars="200"/>
        <w:jc w:val="left"/>
        <w:rPr>
          <w:rFonts w:ascii="宋体"/>
          <w:sz w:val="24"/>
        </w:rPr>
      </w:pPr>
      <w:r>
        <w:rPr>
          <w:rFonts w:hint="eastAsia" w:ascii="宋体" w:hAnsi="宋体"/>
          <w:sz w:val="24"/>
        </w:rPr>
        <w:t>表中数据供施工时参考，施工时可根据钻机工作状况进行适当调整。当钻机以表中数据钻孔时，钻机转盘运转均匀，钻架晃动微小，则可适当加大钻压或转速。</w:t>
      </w:r>
    </w:p>
    <w:p>
      <w:pPr>
        <w:pStyle w:val="14"/>
        <w:spacing w:line="360" w:lineRule="auto"/>
        <w:ind w:left="0" w:leftChars="0" w:firstLine="480" w:firstLineChars="200"/>
        <w:rPr>
          <w:rFonts w:ascii="宋体"/>
        </w:rPr>
      </w:pPr>
      <w:r>
        <w:rPr>
          <w:rFonts w:hint="eastAsia" w:ascii="宋体" w:hAnsi="宋体"/>
        </w:rPr>
        <w:t>当以表中数据钻孔时，发现钻杆转盘运转不正常，钻架晃动较大或钻具跳动较大时，则表明钻压过大或孔底有异物，如遇有孤石，有铁件或是钻具部件脱落等。遇此情况可将钻具略向上提起，减小转盘运转速度。若钻机运转恢复正常，则说明钻压过大；若钻机还不能正常运转，则可再次将钻具向上略微提起，减小转盘运转速度钻进，待恢复正常后再缓慢加压钻进；若经过往返几次操作，钻机仍不能恢复正常工作，则需拆除钻具，弄清情况或打捞起异物后重新安装钻具继续钻进。</w:t>
      </w:r>
    </w:p>
    <w:p>
      <w:pPr>
        <w:spacing w:line="360" w:lineRule="auto"/>
        <w:ind w:firstLine="354" w:firstLineChars="147"/>
        <w:jc w:val="left"/>
        <w:rPr>
          <w:rFonts w:ascii="宋体"/>
          <w:b/>
          <w:sz w:val="24"/>
        </w:rPr>
      </w:pPr>
      <w:r>
        <w:rPr>
          <w:rFonts w:ascii="宋体" w:hAnsi="宋体"/>
          <w:b/>
          <w:sz w:val="24"/>
        </w:rPr>
        <w:t xml:space="preserve">5.1.2 </w:t>
      </w:r>
      <w:r>
        <w:rPr>
          <w:rFonts w:hint="eastAsia" w:ascii="宋体" w:hAnsi="宋体"/>
          <w:b/>
          <w:sz w:val="24"/>
        </w:rPr>
        <w:t>岩石层中钻进</w:t>
      </w:r>
    </w:p>
    <w:p>
      <w:pPr>
        <w:spacing w:line="360" w:lineRule="auto"/>
        <w:ind w:firstLine="480" w:firstLineChars="200"/>
        <w:jc w:val="left"/>
        <w:rPr>
          <w:rFonts w:ascii="宋体"/>
          <w:sz w:val="24"/>
        </w:rPr>
      </w:pPr>
      <w:r>
        <w:rPr>
          <w:rFonts w:hint="eastAsia" w:ascii="宋体" w:hAnsi="宋体"/>
          <w:sz w:val="24"/>
        </w:rPr>
        <w:t>钻头穿透砂砾层进入全风化岩石层时，应岩面不平，石质不均，应减压慢速钻进。钻压</w:t>
      </w:r>
      <w:r>
        <w:rPr>
          <w:rFonts w:ascii="宋体" w:hAnsi="宋体"/>
          <w:sz w:val="24"/>
        </w:rPr>
        <w:t>15</w:t>
      </w:r>
      <w:r>
        <w:rPr>
          <w:rFonts w:hint="eastAsia" w:ascii="宋体" w:hAnsi="宋体"/>
          <w:sz w:val="24"/>
        </w:rPr>
        <w:t>～</w:t>
      </w:r>
      <w:r>
        <w:rPr>
          <w:rFonts w:ascii="宋体" w:hAnsi="宋体"/>
          <w:sz w:val="24"/>
        </w:rPr>
        <w:t>20t</w:t>
      </w:r>
      <w:r>
        <w:rPr>
          <w:rFonts w:hint="eastAsia" w:ascii="宋体" w:hAnsi="宋体"/>
          <w:sz w:val="24"/>
        </w:rPr>
        <w:t>，转速</w:t>
      </w:r>
      <w:r>
        <w:rPr>
          <w:rFonts w:ascii="宋体" w:hAnsi="宋体"/>
          <w:sz w:val="24"/>
        </w:rPr>
        <w:t>3.5</w:t>
      </w:r>
      <w:r>
        <w:rPr>
          <w:rFonts w:hint="eastAsia" w:ascii="宋体" w:hAnsi="宋体"/>
          <w:sz w:val="24"/>
        </w:rPr>
        <w:t>～</w:t>
      </w:r>
      <w:r>
        <w:rPr>
          <w:rFonts w:ascii="宋体" w:hAnsi="宋体"/>
          <w:sz w:val="24"/>
        </w:rPr>
        <w:t>5r/min</w:t>
      </w:r>
      <w:r>
        <w:rPr>
          <w:rFonts w:hint="eastAsia" w:ascii="宋体" w:hAnsi="宋体"/>
          <w:sz w:val="24"/>
        </w:rPr>
        <w:t>。当钻头进入岩石深度</w:t>
      </w:r>
      <w:r>
        <w:rPr>
          <w:rFonts w:ascii="宋体" w:hAnsi="宋体"/>
          <w:sz w:val="24"/>
        </w:rPr>
        <w:t>&gt;0.5m</w:t>
      </w:r>
      <w:r>
        <w:rPr>
          <w:rFonts w:hint="eastAsia" w:ascii="宋体" w:hAnsi="宋体"/>
          <w:sz w:val="24"/>
        </w:rPr>
        <w:t>，可加压至</w:t>
      </w:r>
      <w:r>
        <w:rPr>
          <w:rFonts w:ascii="宋体" w:hAnsi="宋体"/>
          <w:sz w:val="24"/>
        </w:rPr>
        <w:t>20</w:t>
      </w:r>
      <w:r>
        <w:rPr>
          <w:rFonts w:hint="eastAsia" w:ascii="宋体" w:hAnsi="宋体"/>
          <w:sz w:val="24"/>
        </w:rPr>
        <w:t>～</w:t>
      </w:r>
      <w:r>
        <w:rPr>
          <w:rFonts w:ascii="宋体" w:hAnsi="宋体"/>
          <w:sz w:val="24"/>
        </w:rPr>
        <w:t xml:space="preserve">30t , </w:t>
      </w:r>
      <w:r>
        <w:rPr>
          <w:rFonts w:hint="eastAsia" w:ascii="宋体" w:hAnsi="宋体"/>
          <w:sz w:val="24"/>
        </w:rPr>
        <w:t>转速</w:t>
      </w:r>
      <w:r>
        <w:rPr>
          <w:rFonts w:ascii="宋体" w:hAnsi="宋体"/>
          <w:sz w:val="24"/>
        </w:rPr>
        <w:t>4</w:t>
      </w:r>
      <w:r>
        <w:rPr>
          <w:rFonts w:hint="eastAsia" w:ascii="宋体" w:hAnsi="宋体"/>
          <w:sz w:val="24"/>
        </w:rPr>
        <w:t>～</w:t>
      </w:r>
      <w:r>
        <w:rPr>
          <w:rFonts w:ascii="宋体" w:hAnsi="宋体"/>
          <w:sz w:val="24"/>
        </w:rPr>
        <w:t>7r/min,</w:t>
      </w:r>
      <w:r>
        <w:rPr>
          <w:rFonts w:hint="eastAsia" w:ascii="宋体" w:hAnsi="宋体"/>
          <w:sz w:val="24"/>
        </w:rPr>
        <w:t>当岩石单轴强度</w:t>
      </w:r>
      <w:r>
        <w:rPr>
          <w:rFonts w:ascii="宋体" w:hAnsi="宋体"/>
          <w:sz w:val="24"/>
        </w:rPr>
        <w:t>&gt;30Mpa</w:t>
      </w:r>
      <w:r>
        <w:rPr>
          <w:rFonts w:hint="eastAsia" w:ascii="宋体" w:hAnsi="宋体"/>
          <w:sz w:val="24"/>
        </w:rPr>
        <w:t>时，换滚刀钻头。用</w:t>
      </w:r>
      <w:r>
        <w:rPr>
          <w:rFonts w:ascii="宋体" w:hAnsi="宋体"/>
          <w:sz w:val="24"/>
        </w:rPr>
        <w:t>50t</w:t>
      </w:r>
      <w:r>
        <w:rPr>
          <w:rFonts w:hint="eastAsia" w:ascii="宋体" w:hAnsi="宋体"/>
          <w:sz w:val="24"/>
        </w:rPr>
        <w:t>吊或</w:t>
      </w:r>
      <w:r>
        <w:rPr>
          <w:rFonts w:ascii="宋体" w:hAnsi="宋体"/>
          <w:sz w:val="24"/>
        </w:rPr>
        <w:t>280t</w:t>
      </w:r>
      <w:r>
        <w:rPr>
          <w:rFonts w:hint="eastAsia" w:ascii="宋体" w:hAnsi="宋体"/>
          <w:sz w:val="24"/>
        </w:rPr>
        <w:t>吊辅助拆除四翼刮刀钻头，换上滚刀钻头。开钻时先使钻头提离孔底</w:t>
      </w:r>
      <w:r>
        <w:rPr>
          <w:rFonts w:ascii="宋体" w:hAnsi="宋体"/>
          <w:sz w:val="24"/>
        </w:rPr>
        <w:t>30cm</w:t>
      </w:r>
      <w:r>
        <w:rPr>
          <w:rFonts w:hint="eastAsia" w:ascii="宋体" w:hAnsi="宋体"/>
          <w:sz w:val="24"/>
        </w:rPr>
        <w:t>，通风、供浆、泥浆循环。启动钻机，检查转盘转动方向，钻杆、泥浆循环管路有无漏风漏浆现象，等一切正常后方可低压慢速钻进，钻压</w:t>
      </w:r>
      <w:r>
        <w:rPr>
          <w:rFonts w:ascii="宋体" w:hAnsi="宋体"/>
          <w:sz w:val="24"/>
        </w:rPr>
        <w:t>15</w:t>
      </w:r>
      <w:r>
        <w:rPr>
          <w:rFonts w:hint="eastAsia" w:ascii="宋体" w:hAnsi="宋体"/>
          <w:sz w:val="24"/>
        </w:rPr>
        <w:t>～</w:t>
      </w:r>
      <w:r>
        <w:rPr>
          <w:rFonts w:ascii="宋体" w:hAnsi="宋体"/>
          <w:sz w:val="24"/>
        </w:rPr>
        <w:t>25t</w:t>
      </w:r>
      <w:r>
        <w:rPr>
          <w:rFonts w:hint="eastAsia" w:ascii="宋体" w:hAnsi="宋体"/>
          <w:sz w:val="24"/>
        </w:rPr>
        <w:t>，转速</w:t>
      </w:r>
      <w:r>
        <w:rPr>
          <w:rFonts w:ascii="宋体" w:hAnsi="宋体"/>
          <w:sz w:val="24"/>
        </w:rPr>
        <w:t>3</w:t>
      </w:r>
      <w:r>
        <w:rPr>
          <w:rFonts w:hint="eastAsia" w:ascii="宋体" w:hAnsi="宋体"/>
          <w:sz w:val="24"/>
        </w:rPr>
        <w:t>～</w:t>
      </w:r>
      <w:r>
        <w:rPr>
          <w:rFonts w:ascii="宋体" w:hAnsi="宋体"/>
          <w:sz w:val="24"/>
        </w:rPr>
        <w:t>5r/min</w:t>
      </w:r>
      <w:r>
        <w:rPr>
          <w:rFonts w:hint="eastAsia" w:ascii="宋体" w:hAnsi="宋体"/>
          <w:sz w:val="24"/>
        </w:rPr>
        <w:t>。当钻头进入岩石深度</w:t>
      </w:r>
      <w:r>
        <w:rPr>
          <w:rFonts w:ascii="宋体" w:hAnsi="宋体"/>
          <w:sz w:val="24"/>
        </w:rPr>
        <w:t>&gt;0.5m</w:t>
      </w:r>
      <w:r>
        <w:rPr>
          <w:rFonts w:hint="eastAsia" w:ascii="宋体" w:hAnsi="宋体"/>
          <w:sz w:val="24"/>
        </w:rPr>
        <w:t>，小于钻头全高时，钻压</w:t>
      </w:r>
      <w:r>
        <w:rPr>
          <w:rFonts w:ascii="宋体" w:hAnsi="宋体"/>
          <w:sz w:val="24"/>
        </w:rPr>
        <w:t>20</w:t>
      </w:r>
      <w:r>
        <w:rPr>
          <w:rFonts w:hint="eastAsia" w:ascii="宋体" w:hAnsi="宋体"/>
          <w:sz w:val="24"/>
        </w:rPr>
        <w:t>～</w:t>
      </w:r>
      <w:r>
        <w:rPr>
          <w:rFonts w:ascii="宋体" w:hAnsi="宋体"/>
          <w:sz w:val="24"/>
        </w:rPr>
        <w:t xml:space="preserve">35t, </w:t>
      </w:r>
      <w:r>
        <w:rPr>
          <w:rFonts w:hint="eastAsia" w:ascii="宋体" w:hAnsi="宋体"/>
          <w:sz w:val="24"/>
        </w:rPr>
        <w:t>转速</w:t>
      </w:r>
      <w:r>
        <w:rPr>
          <w:rFonts w:ascii="宋体" w:hAnsi="宋体"/>
          <w:sz w:val="24"/>
        </w:rPr>
        <w:t>4</w:t>
      </w:r>
      <w:r>
        <w:rPr>
          <w:rFonts w:hint="eastAsia" w:ascii="宋体" w:hAnsi="宋体"/>
          <w:sz w:val="24"/>
        </w:rPr>
        <w:t>～</w:t>
      </w:r>
      <w:r>
        <w:rPr>
          <w:rFonts w:ascii="宋体" w:hAnsi="宋体"/>
          <w:sz w:val="24"/>
        </w:rPr>
        <w:t>10r/min</w:t>
      </w:r>
      <w:r>
        <w:rPr>
          <w:rFonts w:hint="eastAsia" w:ascii="宋体" w:hAnsi="宋体"/>
          <w:sz w:val="24"/>
        </w:rPr>
        <w:t>；当钻头全部进入岩层，稳定器未进入岩层时，钻压</w:t>
      </w:r>
      <w:r>
        <w:rPr>
          <w:rFonts w:ascii="宋体" w:hAnsi="宋体"/>
          <w:sz w:val="24"/>
        </w:rPr>
        <w:t>30</w:t>
      </w:r>
      <w:r>
        <w:rPr>
          <w:rFonts w:hint="eastAsia" w:ascii="宋体" w:hAnsi="宋体"/>
          <w:sz w:val="24"/>
        </w:rPr>
        <w:t>～</w:t>
      </w:r>
      <w:r>
        <w:rPr>
          <w:rFonts w:ascii="宋体" w:hAnsi="宋体"/>
          <w:sz w:val="24"/>
        </w:rPr>
        <w:t xml:space="preserve">40t, </w:t>
      </w:r>
      <w:r>
        <w:rPr>
          <w:rFonts w:hint="eastAsia" w:ascii="宋体" w:hAnsi="宋体"/>
          <w:sz w:val="24"/>
        </w:rPr>
        <w:t>转速</w:t>
      </w:r>
      <w:r>
        <w:rPr>
          <w:rFonts w:ascii="宋体" w:hAnsi="宋体"/>
          <w:sz w:val="24"/>
        </w:rPr>
        <w:t>5</w:t>
      </w:r>
      <w:r>
        <w:rPr>
          <w:rFonts w:hint="eastAsia" w:ascii="宋体" w:hAnsi="宋体"/>
          <w:sz w:val="24"/>
        </w:rPr>
        <w:t>～</w:t>
      </w:r>
      <w:r>
        <w:rPr>
          <w:rFonts w:ascii="宋体" w:hAnsi="宋体"/>
          <w:sz w:val="24"/>
        </w:rPr>
        <w:t>6r/min</w:t>
      </w:r>
      <w:r>
        <w:rPr>
          <w:rFonts w:hint="eastAsia" w:ascii="宋体" w:hAnsi="宋体"/>
          <w:sz w:val="24"/>
        </w:rPr>
        <w:t>；当稳定器进入岩层后，钻压</w:t>
      </w:r>
      <w:r>
        <w:rPr>
          <w:rFonts w:ascii="宋体" w:hAnsi="宋体"/>
          <w:sz w:val="24"/>
        </w:rPr>
        <w:t>40</w:t>
      </w:r>
      <w:r>
        <w:rPr>
          <w:rFonts w:hint="eastAsia" w:ascii="宋体" w:hAnsi="宋体"/>
          <w:sz w:val="24"/>
        </w:rPr>
        <w:t>～</w:t>
      </w:r>
      <w:r>
        <w:rPr>
          <w:rFonts w:ascii="宋体" w:hAnsi="宋体"/>
          <w:sz w:val="24"/>
        </w:rPr>
        <w:t xml:space="preserve">55t, </w:t>
      </w:r>
      <w:r>
        <w:rPr>
          <w:rFonts w:hint="eastAsia" w:ascii="宋体" w:hAnsi="宋体"/>
          <w:sz w:val="24"/>
        </w:rPr>
        <w:t>转速</w:t>
      </w:r>
      <w:r>
        <w:rPr>
          <w:rFonts w:ascii="宋体" w:hAnsi="宋体"/>
          <w:sz w:val="24"/>
        </w:rPr>
        <w:t>5</w:t>
      </w:r>
      <w:r>
        <w:rPr>
          <w:rFonts w:hint="eastAsia" w:ascii="宋体" w:hAnsi="宋体"/>
          <w:sz w:val="24"/>
        </w:rPr>
        <w:t>～</w:t>
      </w:r>
      <w:r>
        <w:rPr>
          <w:rFonts w:ascii="宋体" w:hAnsi="宋体"/>
          <w:sz w:val="24"/>
        </w:rPr>
        <w:t>7r/min</w:t>
      </w:r>
      <w:r>
        <w:rPr>
          <w:rFonts w:hint="eastAsia" w:ascii="宋体" w:hAnsi="宋体"/>
          <w:sz w:val="24"/>
        </w:rPr>
        <w:t>。</w:t>
      </w:r>
    </w:p>
    <w:p>
      <w:pPr>
        <w:spacing w:line="360" w:lineRule="auto"/>
        <w:ind w:firstLine="480" w:firstLineChars="200"/>
        <w:jc w:val="left"/>
        <w:rPr>
          <w:rFonts w:ascii="宋体"/>
          <w:sz w:val="24"/>
        </w:rPr>
      </w:pPr>
      <w:r>
        <w:rPr>
          <w:rFonts w:hint="eastAsia" w:ascii="宋体" w:hAnsi="宋体"/>
          <w:sz w:val="24"/>
        </w:rPr>
        <w:t>岩层中正常钻进其钻压、转速、进尺速度见表</w:t>
      </w:r>
      <w:r>
        <w:rPr>
          <w:rFonts w:ascii="宋体" w:hAnsi="宋体"/>
          <w:sz w:val="24"/>
        </w:rPr>
        <w:t>5-2</w:t>
      </w:r>
      <w:r>
        <w:rPr>
          <w:rFonts w:hint="eastAsia" w:ascii="宋体" w:hAnsi="宋体"/>
          <w:sz w:val="24"/>
        </w:rPr>
        <w:t>：</w:t>
      </w:r>
    </w:p>
    <w:p>
      <w:pPr>
        <w:pStyle w:val="14"/>
        <w:spacing w:line="360" w:lineRule="auto"/>
        <w:ind w:left="0" w:leftChars="0" w:firstLine="480" w:firstLineChars="200"/>
        <w:rPr>
          <w:rFonts w:ascii="宋体"/>
        </w:rPr>
      </w:pPr>
      <w:r>
        <w:rPr>
          <w:rFonts w:hint="eastAsia" w:ascii="宋体" w:hAnsi="宋体"/>
        </w:rPr>
        <w:t>楔齿型滚刀钻头适用于岩石单轴极限强度小于</w:t>
      </w:r>
      <w:r>
        <w:rPr>
          <w:rFonts w:ascii="宋体" w:hAnsi="宋体"/>
        </w:rPr>
        <w:t>80Mpa</w:t>
      </w:r>
      <w:r>
        <w:rPr>
          <w:rFonts w:hint="eastAsia" w:ascii="宋体" w:hAnsi="宋体"/>
        </w:rPr>
        <w:t>，盘齿型滚刀钻头适用于单轴极限强度在</w:t>
      </w:r>
      <w:r>
        <w:rPr>
          <w:rFonts w:ascii="宋体" w:hAnsi="宋体"/>
        </w:rPr>
        <w:t>80</w:t>
      </w:r>
      <w:r>
        <w:rPr>
          <w:rFonts w:hint="eastAsia" w:ascii="宋体" w:hAnsi="宋体"/>
        </w:rPr>
        <w:t>～</w:t>
      </w:r>
      <w:r>
        <w:rPr>
          <w:rFonts w:ascii="宋体" w:hAnsi="宋体"/>
        </w:rPr>
        <w:t>120Mpa</w:t>
      </w:r>
      <w:r>
        <w:rPr>
          <w:rFonts w:hint="eastAsia" w:ascii="宋体" w:hAnsi="宋体"/>
        </w:rPr>
        <w:t>，球齿型滚刀钻头适用于岩石单轴极限强度大</w:t>
      </w:r>
      <w:r>
        <w:rPr>
          <w:rFonts w:ascii="宋体" w:hAnsi="宋体"/>
        </w:rPr>
        <w:t>120Mpa</w:t>
      </w:r>
      <w:r>
        <w:rPr>
          <w:rFonts w:hint="eastAsia" w:ascii="宋体" w:hAnsi="宋体"/>
        </w:rPr>
        <w:t>。</w:t>
      </w:r>
    </w:p>
    <w:p>
      <w:pPr>
        <w:spacing w:line="360" w:lineRule="auto"/>
        <w:ind w:firstLine="632" w:firstLineChars="300"/>
        <w:jc w:val="center"/>
        <w:rPr>
          <w:rFonts w:ascii="宋体"/>
          <w:b/>
          <w:szCs w:val="21"/>
        </w:rPr>
      </w:pPr>
      <w:r>
        <w:rPr>
          <w:rFonts w:hint="eastAsia" w:ascii="宋体" w:hAnsi="宋体"/>
          <w:b/>
          <w:szCs w:val="21"/>
        </w:rPr>
        <w:t>表</w:t>
      </w:r>
      <w:r>
        <w:rPr>
          <w:rFonts w:ascii="宋体" w:hAnsi="宋体"/>
          <w:b/>
          <w:szCs w:val="21"/>
        </w:rPr>
        <w:t xml:space="preserve">5-2 </w:t>
      </w:r>
      <w:r>
        <w:rPr>
          <w:rFonts w:hint="eastAsia" w:ascii="宋体" w:hAnsi="宋体"/>
          <w:b/>
          <w:szCs w:val="21"/>
        </w:rPr>
        <w:t>岩层中钻压、转速、进尺速度参考表</w:t>
      </w:r>
    </w:p>
    <w:tbl>
      <w:tblPr>
        <w:tblStyle w:val="29"/>
        <w:tblW w:w="8100" w:type="dxa"/>
        <w:tblInd w:w="468"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0"/>
        <w:gridCol w:w="1440"/>
        <w:gridCol w:w="1620"/>
        <w:gridCol w:w="1260"/>
        <w:gridCol w:w="2340"/>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440" w:type="dxa"/>
            <w:tcBorders>
              <w:top w:val="double" w:color="auto" w:sz="4" w:space="0"/>
            </w:tcBorders>
            <w:vAlign w:val="center"/>
          </w:tcPr>
          <w:p>
            <w:pPr>
              <w:spacing w:line="360" w:lineRule="auto"/>
              <w:jc w:val="center"/>
              <w:rPr>
                <w:rFonts w:ascii="宋体"/>
                <w:szCs w:val="21"/>
              </w:rPr>
            </w:pPr>
            <w:r>
              <w:rPr>
                <w:rFonts w:hint="eastAsia" w:ascii="宋体" w:hAnsi="宋体"/>
                <w:szCs w:val="21"/>
              </w:rPr>
              <w:t>刀具种类</w:t>
            </w:r>
          </w:p>
        </w:tc>
        <w:tc>
          <w:tcPr>
            <w:tcW w:w="1440" w:type="dxa"/>
            <w:tcBorders>
              <w:top w:val="double" w:color="auto" w:sz="4" w:space="0"/>
            </w:tcBorders>
            <w:vAlign w:val="center"/>
          </w:tcPr>
          <w:p>
            <w:pPr>
              <w:spacing w:line="360" w:lineRule="auto"/>
              <w:jc w:val="center"/>
              <w:rPr>
                <w:rFonts w:ascii="宋体"/>
                <w:szCs w:val="21"/>
              </w:rPr>
            </w:pPr>
            <w:r>
              <w:rPr>
                <w:rFonts w:hint="eastAsia" w:ascii="宋体" w:hAnsi="宋体"/>
                <w:szCs w:val="21"/>
              </w:rPr>
              <w:t>钻压（</w:t>
            </w:r>
            <w:r>
              <w:rPr>
                <w:rFonts w:ascii="宋体" w:hAnsi="宋体"/>
                <w:szCs w:val="21"/>
              </w:rPr>
              <w:t>t</w:t>
            </w:r>
            <w:r>
              <w:rPr>
                <w:rFonts w:hint="eastAsia" w:ascii="宋体" w:hAnsi="宋体"/>
                <w:szCs w:val="21"/>
              </w:rPr>
              <w:t>）</w:t>
            </w:r>
          </w:p>
        </w:tc>
        <w:tc>
          <w:tcPr>
            <w:tcW w:w="1620" w:type="dxa"/>
            <w:tcBorders>
              <w:top w:val="double" w:color="auto" w:sz="4" w:space="0"/>
            </w:tcBorders>
            <w:vAlign w:val="center"/>
          </w:tcPr>
          <w:p>
            <w:pPr>
              <w:spacing w:line="360" w:lineRule="auto"/>
              <w:jc w:val="center"/>
              <w:rPr>
                <w:rFonts w:ascii="宋体"/>
                <w:szCs w:val="21"/>
              </w:rPr>
            </w:pPr>
            <w:r>
              <w:rPr>
                <w:rFonts w:hint="eastAsia" w:ascii="宋体" w:hAnsi="宋体"/>
                <w:szCs w:val="21"/>
              </w:rPr>
              <w:t>转速（</w:t>
            </w:r>
            <w:r>
              <w:rPr>
                <w:rFonts w:ascii="宋体" w:hAnsi="宋体"/>
                <w:szCs w:val="21"/>
              </w:rPr>
              <w:t>r/min</w:t>
            </w:r>
            <w:r>
              <w:rPr>
                <w:rFonts w:hint="eastAsia" w:ascii="宋体" w:hAnsi="宋体"/>
                <w:szCs w:val="21"/>
              </w:rPr>
              <w:t>）</w:t>
            </w:r>
          </w:p>
        </w:tc>
        <w:tc>
          <w:tcPr>
            <w:tcW w:w="1260" w:type="dxa"/>
            <w:tcBorders>
              <w:top w:val="double" w:color="auto" w:sz="4" w:space="0"/>
            </w:tcBorders>
            <w:vAlign w:val="center"/>
          </w:tcPr>
          <w:p>
            <w:pPr>
              <w:spacing w:line="360" w:lineRule="auto"/>
              <w:jc w:val="center"/>
              <w:rPr>
                <w:rFonts w:ascii="宋体"/>
                <w:szCs w:val="21"/>
              </w:rPr>
            </w:pPr>
            <w:r>
              <w:rPr>
                <w:rFonts w:hint="eastAsia" w:ascii="宋体" w:hAnsi="宋体"/>
                <w:szCs w:val="21"/>
              </w:rPr>
              <w:t>进</w:t>
            </w:r>
            <w:r>
              <w:rPr>
                <w:rFonts w:ascii="宋体" w:hAnsi="宋体"/>
                <w:szCs w:val="21"/>
              </w:rPr>
              <w:t xml:space="preserve">  </w:t>
            </w:r>
            <w:r>
              <w:rPr>
                <w:rFonts w:hint="eastAsia" w:ascii="宋体" w:hAnsi="宋体"/>
                <w:szCs w:val="21"/>
              </w:rPr>
              <w:t>尺</w:t>
            </w:r>
          </w:p>
        </w:tc>
        <w:tc>
          <w:tcPr>
            <w:tcW w:w="2340" w:type="dxa"/>
            <w:tcBorders>
              <w:top w:val="double" w:color="auto" w:sz="4" w:space="0"/>
            </w:tcBorders>
            <w:vAlign w:val="center"/>
          </w:tcPr>
          <w:p>
            <w:pPr>
              <w:spacing w:line="360" w:lineRule="auto"/>
              <w:jc w:val="center"/>
              <w:rPr>
                <w:rFonts w:ascii="宋体"/>
                <w:szCs w:val="21"/>
              </w:rPr>
            </w:pPr>
            <w:r>
              <w:rPr>
                <w:rFonts w:hint="eastAsia" w:ascii="宋体" w:hAnsi="宋体"/>
                <w:szCs w:val="21"/>
              </w:rPr>
              <w:t>钻渣粒径（</w:t>
            </w:r>
            <w:r>
              <w:rPr>
                <w:rFonts w:ascii="宋体" w:hAnsi="宋体"/>
                <w:szCs w:val="21"/>
              </w:rPr>
              <w:t>cm</w:t>
            </w:r>
            <w:r>
              <w:rPr>
                <w:rFonts w:hint="eastAsia" w:ascii="宋体" w:hAnsi="宋体"/>
                <w:szCs w:val="21"/>
              </w:rPr>
              <w:t>）</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440" w:type="dxa"/>
            <w:vAlign w:val="center"/>
          </w:tcPr>
          <w:p>
            <w:pPr>
              <w:spacing w:line="360" w:lineRule="auto"/>
              <w:jc w:val="center"/>
              <w:rPr>
                <w:rFonts w:ascii="宋体"/>
                <w:szCs w:val="21"/>
              </w:rPr>
            </w:pPr>
            <w:r>
              <w:rPr>
                <w:rFonts w:hint="eastAsia" w:ascii="宋体" w:hAnsi="宋体"/>
                <w:szCs w:val="21"/>
              </w:rPr>
              <w:t>球</w:t>
            </w:r>
            <w:r>
              <w:rPr>
                <w:rFonts w:ascii="宋体" w:hAnsi="宋体"/>
                <w:szCs w:val="21"/>
              </w:rPr>
              <w:t xml:space="preserve"> </w:t>
            </w:r>
            <w:r>
              <w:rPr>
                <w:rFonts w:hint="eastAsia" w:ascii="宋体" w:hAnsi="宋体"/>
                <w:szCs w:val="21"/>
              </w:rPr>
              <w:t>齿</w:t>
            </w:r>
          </w:p>
        </w:tc>
        <w:tc>
          <w:tcPr>
            <w:tcW w:w="1440" w:type="dxa"/>
            <w:vAlign w:val="center"/>
          </w:tcPr>
          <w:p>
            <w:pPr>
              <w:spacing w:line="360" w:lineRule="auto"/>
              <w:jc w:val="center"/>
              <w:rPr>
                <w:rFonts w:ascii="宋体"/>
                <w:szCs w:val="21"/>
              </w:rPr>
            </w:pPr>
            <w:r>
              <w:rPr>
                <w:rFonts w:ascii="宋体"/>
                <w:szCs w:val="21"/>
              </w:rPr>
              <w:t>0</w:t>
            </w:r>
            <w:r>
              <w:rPr>
                <w:rFonts w:hint="eastAsia" w:ascii="宋体" w:hAnsi="宋体"/>
                <w:szCs w:val="21"/>
              </w:rPr>
              <w:t>～</w:t>
            </w:r>
            <w:r>
              <w:rPr>
                <w:rFonts w:ascii="宋体" w:hAnsi="宋体"/>
                <w:szCs w:val="21"/>
              </w:rPr>
              <w:t>55</w:t>
            </w:r>
          </w:p>
        </w:tc>
        <w:tc>
          <w:tcPr>
            <w:tcW w:w="1620" w:type="dxa"/>
            <w:vMerge w:val="restart"/>
            <w:vAlign w:val="center"/>
          </w:tcPr>
          <w:p>
            <w:pPr>
              <w:spacing w:line="360" w:lineRule="auto"/>
              <w:jc w:val="center"/>
              <w:rPr>
                <w:rFonts w:ascii="宋体"/>
                <w:szCs w:val="21"/>
              </w:rPr>
            </w:pPr>
            <w:r>
              <w:rPr>
                <w:rFonts w:ascii="宋体" w:hAnsi="宋体"/>
                <w:szCs w:val="21"/>
              </w:rPr>
              <w:t>4</w:t>
            </w:r>
            <w:r>
              <w:rPr>
                <w:rFonts w:hint="eastAsia" w:ascii="宋体" w:hAnsi="宋体"/>
                <w:szCs w:val="21"/>
              </w:rPr>
              <w:t>～</w:t>
            </w:r>
            <w:r>
              <w:rPr>
                <w:rFonts w:ascii="宋体" w:hAnsi="宋体"/>
                <w:szCs w:val="21"/>
              </w:rPr>
              <w:t>10</w:t>
            </w:r>
          </w:p>
        </w:tc>
        <w:tc>
          <w:tcPr>
            <w:tcW w:w="1260" w:type="dxa"/>
            <w:vMerge w:val="restart"/>
            <w:vAlign w:val="center"/>
          </w:tcPr>
          <w:p>
            <w:pPr>
              <w:spacing w:line="360" w:lineRule="auto"/>
              <w:jc w:val="center"/>
              <w:rPr>
                <w:rFonts w:ascii="宋体"/>
                <w:szCs w:val="21"/>
              </w:rPr>
            </w:pPr>
            <w:r>
              <w:rPr>
                <w:rFonts w:hint="eastAsia" w:ascii="宋体" w:hAnsi="宋体"/>
                <w:szCs w:val="21"/>
              </w:rPr>
              <w:t>减压钻进</w:t>
            </w:r>
          </w:p>
        </w:tc>
        <w:tc>
          <w:tcPr>
            <w:tcW w:w="2340" w:type="dxa"/>
            <w:vAlign w:val="center"/>
          </w:tcPr>
          <w:p>
            <w:pPr>
              <w:spacing w:line="360" w:lineRule="auto"/>
              <w:jc w:val="center"/>
              <w:rPr>
                <w:rFonts w:ascii="宋体"/>
                <w:szCs w:val="21"/>
              </w:rPr>
            </w:pPr>
            <w:r>
              <w:rPr>
                <w:rFonts w:ascii="宋体" w:hAnsi="宋体"/>
                <w:szCs w:val="21"/>
              </w:rPr>
              <w:t>&lt;3</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440" w:type="dxa"/>
            <w:vAlign w:val="center"/>
          </w:tcPr>
          <w:p>
            <w:pPr>
              <w:spacing w:line="360" w:lineRule="auto"/>
              <w:jc w:val="center"/>
              <w:rPr>
                <w:rFonts w:ascii="宋体"/>
                <w:szCs w:val="21"/>
              </w:rPr>
            </w:pPr>
            <w:r>
              <w:rPr>
                <w:rFonts w:hint="eastAsia" w:ascii="宋体" w:hAnsi="宋体"/>
                <w:szCs w:val="21"/>
              </w:rPr>
              <w:t>楔</w:t>
            </w:r>
            <w:r>
              <w:rPr>
                <w:rFonts w:ascii="宋体" w:hAnsi="宋体"/>
                <w:szCs w:val="21"/>
              </w:rPr>
              <w:t xml:space="preserve"> </w:t>
            </w:r>
            <w:r>
              <w:rPr>
                <w:rFonts w:hint="eastAsia" w:ascii="宋体" w:hAnsi="宋体"/>
                <w:szCs w:val="21"/>
              </w:rPr>
              <w:t>齿</w:t>
            </w:r>
          </w:p>
        </w:tc>
        <w:tc>
          <w:tcPr>
            <w:tcW w:w="1440" w:type="dxa"/>
            <w:vAlign w:val="center"/>
          </w:tcPr>
          <w:p>
            <w:pPr>
              <w:spacing w:line="360" w:lineRule="auto"/>
              <w:jc w:val="center"/>
              <w:rPr>
                <w:rFonts w:ascii="宋体"/>
                <w:szCs w:val="21"/>
              </w:rPr>
            </w:pPr>
            <w:r>
              <w:rPr>
                <w:rFonts w:ascii="宋体"/>
                <w:szCs w:val="21"/>
              </w:rPr>
              <w:t>0</w:t>
            </w:r>
            <w:r>
              <w:rPr>
                <w:rFonts w:hint="eastAsia" w:ascii="宋体" w:hAnsi="宋体"/>
                <w:szCs w:val="21"/>
              </w:rPr>
              <w:t>～</w:t>
            </w:r>
            <w:r>
              <w:rPr>
                <w:rFonts w:ascii="宋体" w:hAnsi="宋体"/>
                <w:szCs w:val="21"/>
              </w:rPr>
              <w:t>45</w:t>
            </w:r>
          </w:p>
        </w:tc>
        <w:tc>
          <w:tcPr>
            <w:tcW w:w="1620" w:type="dxa"/>
            <w:vMerge w:val="continue"/>
            <w:vAlign w:val="center"/>
          </w:tcPr>
          <w:p>
            <w:pPr>
              <w:spacing w:line="360" w:lineRule="auto"/>
              <w:jc w:val="center"/>
              <w:rPr>
                <w:rFonts w:ascii="宋体"/>
                <w:szCs w:val="21"/>
              </w:rPr>
            </w:pPr>
          </w:p>
        </w:tc>
        <w:tc>
          <w:tcPr>
            <w:tcW w:w="1260" w:type="dxa"/>
            <w:vMerge w:val="continue"/>
            <w:vAlign w:val="center"/>
          </w:tcPr>
          <w:p>
            <w:pPr>
              <w:spacing w:line="360" w:lineRule="auto"/>
              <w:jc w:val="center"/>
              <w:rPr>
                <w:rFonts w:ascii="宋体"/>
                <w:szCs w:val="21"/>
              </w:rPr>
            </w:pPr>
          </w:p>
        </w:tc>
        <w:tc>
          <w:tcPr>
            <w:tcW w:w="2340" w:type="dxa"/>
            <w:vAlign w:val="center"/>
          </w:tcPr>
          <w:p>
            <w:pPr>
              <w:spacing w:line="360" w:lineRule="auto"/>
              <w:jc w:val="center"/>
              <w:rPr>
                <w:rFonts w:ascii="宋体"/>
                <w:szCs w:val="21"/>
              </w:rPr>
            </w:pPr>
            <w:r>
              <w:rPr>
                <w:rFonts w:ascii="宋体" w:hAnsi="宋体"/>
                <w:szCs w:val="21"/>
              </w:rPr>
              <w:t>3</w:t>
            </w:r>
            <w:r>
              <w:rPr>
                <w:rFonts w:hint="eastAsia" w:ascii="宋体" w:hAnsi="宋体"/>
                <w:szCs w:val="21"/>
              </w:rPr>
              <w:t>～</w:t>
            </w:r>
            <w:r>
              <w:rPr>
                <w:rFonts w:ascii="宋体" w:hAnsi="宋体"/>
                <w:szCs w:val="21"/>
              </w:rPr>
              <w:t>5</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440" w:type="dxa"/>
            <w:tcBorders>
              <w:bottom w:val="double" w:color="auto" w:sz="4" w:space="0"/>
            </w:tcBorders>
            <w:vAlign w:val="center"/>
          </w:tcPr>
          <w:p>
            <w:pPr>
              <w:spacing w:line="360" w:lineRule="auto"/>
              <w:jc w:val="center"/>
              <w:rPr>
                <w:rFonts w:ascii="宋体"/>
                <w:szCs w:val="21"/>
              </w:rPr>
            </w:pPr>
            <w:r>
              <w:rPr>
                <w:rFonts w:hint="eastAsia" w:ascii="宋体" w:hAnsi="宋体"/>
                <w:szCs w:val="21"/>
              </w:rPr>
              <w:t>盘</w:t>
            </w:r>
            <w:r>
              <w:rPr>
                <w:rFonts w:ascii="宋体" w:hAnsi="宋体"/>
                <w:szCs w:val="21"/>
              </w:rPr>
              <w:t xml:space="preserve"> </w:t>
            </w:r>
            <w:r>
              <w:rPr>
                <w:rFonts w:hint="eastAsia" w:ascii="宋体" w:hAnsi="宋体"/>
                <w:szCs w:val="21"/>
              </w:rPr>
              <w:t>齿</w:t>
            </w:r>
          </w:p>
        </w:tc>
        <w:tc>
          <w:tcPr>
            <w:tcW w:w="1440" w:type="dxa"/>
            <w:tcBorders>
              <w:bottom w:val="double" w:color="auto" w:sz="4" w:space="0"/>
            </w:tcBorders>
            <w:vAlign w:val="center"/>
          </w:tcPr>
          <w:p>
            <w:pPr>
              <w:spacing w:line="360" w:lineRule="auto"/>
              <w:jc w:val="center"/>
              <w:rPr>
                <w:rFonts w:ascii="宋体"/>
                <w:szCs w:val="21"/>
              </w:rPr>
            </w:pPr>
            <w:r>
              <w:rPr>
                <w:rFonts w:ascii="宋体"/>
                <w:szCs w:val="21"/>
              </w:rPr>
              <w:t>0</w:t>
            </w:r>
            <w:r>
              <w:rPr>
                <w:rFonts w:hint="eastAsia" w:ascii="宋体" w:hAnsi="宋体"/>
                <w:szCs w:val="21"/>
              </w:rPr>
              <w:t>～</w:t>
            </w:r>
            <w:r>
              <w:rPr>
                <w:rFonts w:ascii="宋体" w:hAnsi="宋体"/>
                <w:szCs w:val="21"/>
              </w:rPr>
              <w:t>45</w:t>
            </w:r>
          </w:p>
        </w:tc>
        <w:tc>
          <w:tcPr>
            <w:tcW w:w="1620" w:type="dxa"/>
            <w:vMerge w:val="continue"/>
            <w:tcBorders>
              <w:bottom w:val="double" w:color="auto" w:sz="4" w:space="0"/>
            </w:tcBorders>
            <w:vAlign w:val="center"/>
          </w:tcPr>
          <w:p>
            <w:pPr>
              <w:spacing w:line="360" w:lineRule="auto"/>
              <w:jc w:val="center"/>
              <w:rPr>
                <w:rFonts w:ascii="宋体"/>
                <w:szCs w:val="21"/>
              </w:rPr>
            </w:pPr>
          </w:p>
        </w:tc>
        <w:tc>
          <w:tcPr>
            <w:tcW w:w="1260" w:type="dxa"/>
            <w:vMerge w:val="continue"/>
            <w:tcBorders>
              <w:bottom w:val="double" w:color="auto" w:sz="4" w:space="0"/>
            </w:tcBorders>
            <w:vAlign w:val="center"/>
          </w:tcPr>
          <w:p>
            <w:pPr>
              <w:spacing w:line="360" w:lineRule="auto"/>
              <w:jc w:val="center"/>
              <w:rPr>
                <w:rFonts w:ascii="宋体"/>
                <w:szCs w:val="21"/>
              </w:rPr>
            </w:pPr>
          </w:p>
        </w:tc>
        <w:tc>
          <w:tcPr>
            <w:tcW w:w="2340" w:type="dxa"/>
            <w:tcBorders>
              <w:bottom w:val="double" w:color="auto" w:sz="4" w:space="0"/>
            </w:tcBorders>
            <w:vAlign w:val="center"/>
          </w:tcPr>
          <w:p>
            <w:pPr>
              <w:spacing w:line="360" w:lineRule="auto"/>
              <w:jc w:val="center"/>
              <w:rPr>
                <w:rFonts w:ascii="宋体"/>
                <w:szCs w:val="21"/>
              </w:rPr>
            </w:pPr>
            <w:r>
              <w:rPr>
                <w:rFonts w:ascii="宋体" w:hAnsi="宋体"/>
                <w:szCs w:val="21"/>
              </w:rPr>
              <w:t>5</w:t>
            </w:r>
            <w:r>
              <w:rPr>
                <w:rFonts w:hint="eastAsia" w:ascii="宋体" w:hAnsi="宋体"/>
                <w:szCs w:val="21"/>
              </w:rPr>
              <w:t>～</w:t>
            </w:r>
            <w:r>
              <w:rPr>
                <w:rFonts w:ascii="宋体" w:hAnsi="宋体"/>
                <w:szCs w:val="21"/>
              </w:rPr>
              <w:t>7</w:t>
            </w:r>
          </w:p>
        </w:tc>
      </w:tr>
    </w:tbl>
    <w:p>
      <w:pPr>
        <w:pStyle w:val="14"/>
        <w:spacing w:line="360" w:lineRule="auto"/>
        <w:ind w:left="0" w:leftChars="0" w:firstLine="480" w:firstLineChars="200"/>
        <w:rPr>
          <w:rFonts w:ascii="宋体"/>
        </w:rPr>
      </w:pPr>
      <w:r>
        <w:rPr>
          <w:rFonts w:hint="eastAsia" w:ascii="宋体" w:hAnsi="宋体"/>
        </w:rPr>
        <w:t>在岩层中钻进时，钻压应由小逐渐加压，并经常观察从泥浆分离器出来的钻渣，当钻渣颗粒大小均匀，且最大颗粒粒径接近表中数值时，不宜再继续加压。</w:t>
      </w:r>
    </w:p>
    <w:p>
      <w:pPr>
        <w:pStyle w:val="14"/>
        <w:spacing w:line="360" w:lineRule="auto"/>
        <w:ind w:left="0" w:leftChars="0" w:firstLine="480" w:firstLineChars="200"/>
        <w:rPr>
          <w:rFonts w:ascii="宋体"/>
        </w:rPr>
      </w:pPr>
      <w:r>
        <w:rPr>
          <w:rFonts w:hint="eastAsia" w:ascii="宋体" w:hAnsi="宋体"/>
        </w:rPr>
        <w:t>钻进参数选择的一般原则：在岩层与岩层交接面处或覆盖层与岩层交接处宜采用较小钻压，较低转速钻进；岩石倾斜、岩石破碎或岩层构造一边软一边硬宜采用较小钻压，较低转速钻进；岩面平整，岩石完整时宜采用较大钻压，高转速钻进，但始终要保证减压钻进。</w:t>
      </w:r>
    </w:p>
    <w:p>
      <w:pPr>
        <w:spacing w:line="360" w:lineRule="auto"/>
        <w:jc w:val="left"/>
        <w:outlineLvl w:val="2"/>
        <w:rPr>
          <w:rFonts w:ascii="宋体"/>
          <w:b/>
          <w:sz w:val="28"/>
          <w:szCs w:val="28"/>
        </w:rPr>
      </w:pPr>
      <w:bookmarkStart w:id="53" w:name="_Toc353351883"/>
      <w:r>
        <w:rPr>
          <w:rFonts w:ascii="宋体" w:hAnsi="宋体"/>
          <w:b/>
          <w:sz w:val="28"/>
          <w:szCs w:val="28"/>
        </w:rPr>
        <w:t>5.2</w:t>
      </w:r>
      <w:r>
        <w:rPr>
          <w:rFonts w:hint="eastAsia" w:ascii="宋体" w:hAnsi="宋体"/>
          <w:b/>
          <w:sz w:val="28"/>
          <w:szCs w:val="28"/>
        </w:rPr>
        <w:t>钻孔控制</w:t>
      </w:r>
      <w:bookmarkEnd w:id="53"/>
    </w:p>
    <w:p>
      <w:pPr>
        <w:spacing w:line="360" w:lineRule="auto"/>
        <w:ind w:firstLine="353" w:firstLineChars="147"/>
        <w:rPr>
          <w:rFonts w:ascii="宋体"/>
          <w:sz w:val="24"/>
        </w:rPr>
      </w:pPr>
      <w:r>
        <w:rPr>
          <w:rFonts w:ascii="宋体" w:hAnsi="宋体"/>
          <w:sz w:val="24"/>
        </w:rPr>
        <w:t xml:space="preserve"> </w:t>
      </w:r>
      <w:r>
        <w:rPr>
          <w:rFonts w:hint="eastAsia" w:ascii="宋体" w:hAnsi="宋体"/>
          <w:sz w:val="24"/>
        </w:rPr>
        <w:t>复杂的地质情况，造成了钻孔的施工难度。</w:t>
      </w:r>
      <w:r>
        <w:rPr>
          <w:rFonts w:hint="eastAsia" w:ascii="宋体" w:hAnsi="宋体"/>
        </w:rPr>
        <w:t>因施工现场地处坑塘、水农田以及树根较多，而后期对有淤泥的坑塘回填及流水排除没有有效的控制，进一步增加了钻孔负担。针对回填层较厚，坑塘未抽水清淤就直接覆盖的场地，首先试埋长护筒，护筒的长度应大于回填层和淤泥层的厚度，然后钻进施工。针对钻机无法在场地平台施工的，后期应对施工场地</w:t>
      </w:r>
      <w:r>
        <w:rPr>
          <w:rFonts w:hint="eastAsia" w:ascii="宋体"/>
          <w:sz w:val="24"/>
        </w:rPr>
        <w:t>进行全面开挖，范围至楼层桩基础范围内再向外扩展</w:t>
      </w:r>
      <w:r>
        <w:rPr>
          <w:rFonts w:ascii="宋体"/>
          <w:sz w:val="24"/>
        </w:rPr>
        <w:t>3</w:t>
      </w:r>
      <w:r>
        <w:rPr>
          <w:rFonts w:hint="eastAsia" w:ascii="宋体"/>
          <w:sz w:val="24"/>
        </w:rPr>
        <w:t>米，开挖深不能小于淤泥层的厚度，并清除淤泥和积水，开挖完成后全部回填砖渣约</w:t>
      </w:r>
      <w:r>
        <w:rPr>
          <w:rFonts w:ascii="宋体"/>
          <w:sz w:val="24"/>
        </w:rPr>
        <w:t>1</w:t>
      </w:r>
      <w:r>
        <w:rPr>
          <w:rFonts w:hint="eastAsia" w:ascii="宋体"/>
          <w:sz w:val="24"/>
        </w:rPr>
        <w:t>米厚，并压实。施工前，埋设</w:t>
      </w:r>
      <w:r>
        <w:rPr>
          <w:rFonts w:ascii="宋体"/>
          <w:sz w:val="24"/>
        </w:rPr>
        <w:t>4</w:t>
      </w:r>
      <w:r>
        <w:rPr>
          <w:rFonts w:hint="eastAsia" w:ascii="宋体"/>
          <w:sz w:val="24"/>
        </w:rPr>
        <w:t>米左右长的护筒，</w:t>
      </w:r>
      <w:r>
        <w:rPr>
          <w:rFonts w:ascii="宋体"/>
          <w:sz w:val="24"/>
        </w:rPr>
        <w:t>12</w:t>
      </w:r>
      <w:r>
        <w:rPr>
          <w:rFonts w:hint="eastAsia" w:ascii="宋体"/>
          <w:sz w:val="24"/>
        </w:rPr>
        <w:t>根钢护筒成组埋设流水作业施工。修筑钻机下到基坑的缓坡，便于钻机走行。</w:t>
      </w:r>
    </w:p>
    <w:p>
      <w:pPr>
        <w:spacing w:line="360" w:lineRule="auto"/>
        <w:jc w:val="left"/>
        <w:outlineLvl w:val="2"/>
        <w:rPr>
          <w:rFonts w:ascii="宋体"/>
          <w:b/>
          <w:sz w:val="28"/>
          <w:szCs w:val="28"/>
        </w:rPr>
      </w:pPr>
      <w:bookmarkStart w:id="54" w:name="_Toc353351884"/>
      <w:r>
        <w:rPr>
          <w:rFonts w:ascii="宋体" w:hAnsi="宋体"/>
          <w:b/>
          <w:sz w:val="28"/>
          <w:szCs w:val="28"/>
        </w:rPr>
        <w:t>5.3</w:t>
      </w:r>
      <w:r>
        <w:rPr>
          <w:rFonts w:hint="eastAsia" w:ascii="宋体" w:hAnsi="宋体"/>
          <w:b/>
          <w:sz w:val="28"/>
          <w:szCs w:val="28"/>
        </w:rPr>
        <w:t>钻孔过程中的有关注意事项</w:t>
      </w:r>
      <w:bookmarkEnd w:id="54"/>
    </w:p>
    <w:p>
      <w:pPr>
        <w:spacing w:line="360" w:lineRule="auto"/>
        <w:ind w:firstLine="480" w:firstLineChars="200"/>
        <w:jc w:val="left"/>
        <w:rPr>
          <w:rFonts w:ascii="宋体"/>
          <w:sz w:val="24"/>
        </w:rPr>
      </w:pPr>
      <w:r>
        <w:rPr>
          <w:rFonts w:ascii="宋体" w:hAnsi="宋体"/>
          <w:sz w:val="24"/>
        </w:rPr>
        <w:t>1)</w:t>
      </w:r>
      <w:r>
        <w:rPr>
          <w:rFonts w:hint="eastAsia" w:ascii="宋体" w:hAnsi="宋体"/>
          <w:sz w:val="24"/>
        </w:rPr>
        <w:t>钻孔过程中要经常用水平尺和线锤检查转盘的水平度和钻架的垂直度，确保成孔轴线顺直。</w:t>
      </w:r>
    </w:p>
    <w:p>
      <w:pPr>
        <w:spacing w:line="360" w:lineRule="auto"/>
        <w:ind w:firstLine="480" w:firstLineChars="200"/>
        <w:jc w:val="left"/>
        <w:rPr>
          <w:rFonts w:ascii="宋体"/>
          <w:sz w:val="24"/>
        </w:rPr>
      </w:pPr>
      <w:r>
        <w:rPr>
          <w:rFonts w:ascii="宋体" w:hAnsi="宋体"/>
          <w:sz w:val="24"/>
        </w:rPr>
        <w:t>2)</w:t>
      </w:r>
      <w:r>
        <w:rPr>
          <w:rFonts w:hint="eastAsia" w:ascii="宋体" w:hAnsi="宋体"/>
          <w:sz w:val="24"/>
        </w:rPr>
        <w:t>施工过程中要认真做好施工记录，及时、全面、如实地反映钻孔过程中的实际情况。如钻进参数、钻机运转、地质条件、钻头标高、排渣情况、泥面标高、异常现象、停机原因及泥浆的有关技术参数等。以便及时总结，对施工工艺进行修改和完善。</w:t>
      </w:r>
    </w:p>
    <w:p>
      <w:pPr>
        <w:spacing w:line="360" w:lineRule="auto"/>
        <w:ind w:firstLine="480" w:firstLineChars="200"/>
        <w:jc w:val="left"/>
        <w:rPr>
          <w:rFonts w:ascii="宋体"/>
          <w:sz w:val="24"/>
        </w:rPr>
      </w:pPr>
      <w:r>
        <w:rPr>
          <w:rFonts w:ascii="宋体" w:hAnsi="宋体"/>
          <w:sz w:val="24"/>
        </w:rPr>
        <w:t>3)</w:t>
      </w:r>
      <w:r>
        <w:rPr>
          <w:rFonts w:hint="eastAsia" w:ascii="宋体" w:hAnsi="宋体"/>
          <w:sz w:val="24"/>
        </w:rPr>
        <w:t>对于深孔钻进时，要经常观察排渣口的的出浆情况，若发现排渣不连续，可能是因风力不足所致，要立即起用中间风包，中间风包设置的位置一般距泥浆面</w:t>
      </w:r>
      <w:r>
        <w:rPr>
          <w:rFonts w:ascii="宋体" w:hAnsi="宋体"/>
          <w:sz w:val="24"/>
        </w:rPr>
        <w:t>50</w:t>
      </w:r>
      <w:r>
        <w:rPr>
          <w:rFonts w:hint="eastAsia" w:ascii="宋体" w:hAnsi="宋体"/>
          <w:sz w:val="24"/>
        </w:rPr>
        <w:t>～</w:t>
      </w:r>
      <w:r>
        <w:rPr>
          <w:rFonts w:ascii="宋体" w:hAnsi="宋体"/>
          <w:sz w:val="24"/>
        </w:rPr>
        <w:t>60m</w:t>
      </w:r>
      <w:r>
        <w:rPr>
          <w:rFonts w:hint="eastAsia" w:ascii="宋体" w:hAnsi="宋体"/>
          <w:sz w:val="24"/>
        </w:rPr>
        <w:t>左右。</w:t>
      </w:r>
    </w:p>
    <w:p>
      <w:pPr>
        <w:spacing w:line="360" w:lineRule="auto"/>
        <w:ind w:firstLine="480" w:firstLineChars="200"/>
        <w:jc w:val="left"/>
        <w:rPr>
          <w:rFonts w:ascii="宋体"/>
          <w:sz w:val="24"/>
        </w:rPr>
      </w:pPr>
      <w:r>
        <w:rPr>
          <w:rFonts w:ascii="宋体" w:hAnsi="宋体"/>
          <w:sz w:val="24"/>
        </w:rPr>
        <w:t>4)</w:t>
      </w:r>
      <w:r>
        <w:rPr>
          <w:rFonts w:hint="eastAsia" w:ascii="宋体" w:hAnsi="宋体"/>
          <w:sz w:val="24"/>
        </w:rPr>
        <w:t>钻孔过程中若泥浆指标不合格，需要调配时，不得将碱或膨润土直接倒入孔中，应用水稀释后缓慢加入泥浆循环池内。任何时候不得直接在孔中或泥浆池中注水稀释泥浆，防止泥浆离析。</w:t>
      </w:r>
    </w:p>
    <w:p>
      <w:pPr>
        <w:spacing w:line="360" w:lineRule="auto"/>
        <w:ind w:firstLine="480" w:firstLineChars="200"/>
        <w:jc w:val="left"/>
        <w:rPr>
          <w:rFonts w:ascii="宋体"/>
          <w:sz w:val="24"/>
        </w:rPr>
      </w:pPr>
      <w:r>
        <w:rPr>
          <w:rFonts w:ascii="宋体" w:hAnsi="宋体"/>
          <w:sz w:val="24"/>
        </w:rPr>
        <w:t>5)</w:t>
      </w:r>
      <w:r>
        <w:rPr>
          <w:rFonts w:hint="eastAsia" w:ascii="宋体" w:hAnsi="宋体"/>
          <w:sz w:val="24"/>
        </w:rPr>
        <w:t>滚刀钻头每次使用前后应认真检查各牙轮安装位置、方向是否正确，焊接是否牢靠。</w:t>
      </w:r>
    </w:p>
    <w:p>
      <w:pPr>
        <w:spacing w:line="360" w:lineRule="auto"/>
        <w:ind w:firstLine="480" w:firstLineChars="200"/>
        <w:jc w:val="left"/>
        <w:rPr>
          <w:rFonts w:ascii="宋体"/>
          <w:sz w:val="24"/>
        </w:rPr>
      </w:pPr>
      <w:r>
        <w:rPr>
          <w:rFonts w:ascii="宋体" w:hAnsi="宋体"/>
          <w:sz w:val="24"/>
        </w:rPr>
        <w:t>6)</w:t>
      </w:r>
      <w:r>
        <w:rPr>
          <w:rFonts w:hint="eastAsia" w:ascii="宋体" w:hAnsi="宋体"/>
          <w:sz w:val="24"/>
        </w:rPr>
        <w:t>孔拆除钻具后，应有专人对钻具焊缝螺栓连接部位及钻头合金、滚刀进行检查并记录，及时进行修补和更换。同时对钻具宽度进行测量，与钻孔前比较。</w:t>
      </w:r>
    </w:p>
    <w:p>
      <w:pPr>
        <w:spacing w:line="360" w:lineRule="auto"/>
        <w:jc w:val="left"/>
        <w:outlineLvl w:val="2"/>
        <w:rPr>
          <w:rFonts w:ascii="宋体"/>
          <w:b/>
          <w:sz w:val="28"/>
          <w:szCs w:val="28"/>
        </w:rPr>
      </w:pPr>
      <w:bookmarkStart w:id="55" w:name="_Toc353351885"/>
      <w:r>
        <w:rPr>
          <w:rFonts w:ascii="宋体" w:hAnsi="宋体"/>
          <w:b/>
          <w:sz w:val="28"/>
          <w:szCs w:val="28"/>
        </w:rPr>
        <w:t xml:space="preserve">5.4 </w:t>
      </w:r>
      <w:r>
        <w:rPr>
          <w:rFonts w:hint="eastAsia" w:ascii="宋体" w:hAnsi="宋体"/>
          <w:b/>
          <w:sz w:val="28"/>
          <w:szCs w:val="28"/>
        </w:rPr>
        <w:t>清孔</w:t>
      </w:r>
      <w:bookmarkEnd w:id="55"/>
    </w:p>
    <w:p>
      <w:pPr>
        <w:widowControl/>
        <w:shd w:val="clear" w:color="auto" w:fill="FFFFFF"/>
        <w:adjustRightInd w:val="0"/>
        <w:snapToGrid w:val="0"/>
        <w:spacing w:line="360" w:lineRule="auto"/>
        <w:ind w:firstLine="600" w:firstLineChars="250"/>
        <w:jc w:val="left"/>
        <w:rPr>
          <w:rFonts w:ascii="宋体" w:cs="宋体"/>
          <w:color w:val="000000"/>
          <w:kern w:val="0"/>
          <w:sz w:val="24"/>
        </w:rPr>
      </w:pPr>
      <w:r>
        <w:rPr>
          <w:rFonts w:hint="eastAsia" w:ascii="宋体" w:hAnsi="宋体" w:cs="宋体"/>
          <w:color w:val="000000"/>
          <w:kern w:val="0"/>
          <w:sz w:val="24"/>
        </w:rPr>
        <w:t>第一次清孔：终孔后，浆液沉淀半小时，用钻机进行初次清孔后，并经监理工程师检查沉碴厚度、孔径、孔深、垂直度合格后，撤钻机，安装钢筋笼，安装封孔导管，然后进行二次清孔。</w:t>
      </w:r>
    </w:p>
    <w:p>
      <w:pPr>
        <w:widowControl/>
        <w:shd w:val="clear" w:color="auto" w:fill="FFFFFF"/>
        <w:adjustRightInd w:val="0"/>
        <w:snapToGrid w:val="0"/>
        <w:spacing w:line="360" w:lineRule="auto"/>
        <w:ind w:firstLine="480" w:firstLineChars="200"/>
        <w:jc w:val="left"/>
        <w:rPr>
          <w:rFonts w:ascii="宋体" w:cs="宋体"/>
          <w:color w:val="000000"/>
          <w:kern w:val="0"/>
          <w:sz w:val="24"/>
        </w:rPr>
      </w:pPr>
      <w:r>
        <w:rPr>
          <w:rFonts w:hint="eastAsia" w:ascii="宋体" w:hAnsi="宋体" w:cs="宋体"/>
          <w:color w:val="000000"/>
          <w:kern w:val="0"/>
          <w:sz w:val="24"/>
        </w:rPr>
        <w:t>二次清孔采用换浆法清孔，以灌注水下混凝土的导管作为管道，用泥浆泵向孔内压入优质泥浆，直至检验返上的新鲜泥浆各项指标达标，测量孔底沉渣厚度符合设计和规范规定（摩擦桩</w:t>
      </w:r>
      <w:r>
        <w:rPr>
          <w:rFonts w:hint="eastAsia" w:ascii="宋体" w:cs="宋体"/>
          <w:color w:val="000000"/>
          <w:kern w:val="0"/>
          <w:sz w:val="24"/>
        </w:rPr>
        <w:t>≤</w:t>
      </w:r>
      <w:r>
        <w:rPr>
          <w:rFonts w:ascii="宋体" w:hAnsi="宋体" w:cs="宋体"/>
          <w:color w:val="000000"/>
          <w:kern w:val="0"/>
          <w:sz w:val="24"/>
        </w:rPr>
        <w:t>20cm</w:t>
      </w:r>
      <w:r>
        <w:rPr>
          <w:rFonts w:hint="eastAsia" w:ascii="宋体" w:hAnsi="宋体" w:cs="宋体"/>
          <w:color w:val="000000"/>
          <w:kern w:val="0"/>
          <w:sz w:val="24"/>
        </w:rPr>
        <w:t>）并经监理工程师检查同意后，安装大料斗，做好灌注水下混凝土准备。</w:t>
      </w:r>
    </w:p>
    <w:p>
      <w:pPr>
        <w:widowControl/>
        <w:shd w:val="clear" w:color="auto" w:fill="FFFFFF"/>
        <w:adjustRightInd w:val="0"/>
        <w:snapToGrid w:val="0"/>
        <w:spacing w:line="360" w:lineRule="auto"/>
        <w:ind w:firstLine="600" w:firstLineChars="250"/>
        <w:jc w:val="left"/>
        <w:rPr>
          <w:rFonts w:ascii="宋体" w:cs="宋体"/>
          <w:color w:val="000000"/>
          <w:kern w:val="0"/>
          <w:sz w:val="24"/>
        </w:rPr>
      </w:pPr>
      <w:r>
        <w:rPr>
          <w:rFonts w:hint="eastAsia" w:ascii="宋体" w:hAnsi="宋体" w:cs="宋体"/>
          <w:color w:val="000000"/>
          <w:kern w:val="0"/>
          <w:sz w:val="24"/>
        </w:rPr>
        <w:t>清孔过程中必须始终保持孔内原有水头高度。</w:t>
      </w:r>
    </w:p>
    <w:p>
      <w:pPr>
        <w:spacing w:line="360" w:lineRule="auto"/>
        <w:jc w:val="left"/>
        <w:outlineLvl w:val="2"/>
        <w:rPr>
          <w:rFonts w:ascii="宋体"/>
          <w:b/>
          <w:sz w:val="28"/>
          <w:szCs w:val="28"/>
        </w:rPr>
      </w:pPr>
      <w:bookmarkStart w:id="56" w:name="_Toc353351886"/>
      <w:r>
        <w:rPr>
          <w:rFonts w:ascii="宋体" w:hAnsi="宋体"/>
          <w:b/>
          <w:sz w:val="28"/>
          <w:szCs w:val="28"/>
        </w:rPr>
        <w:t xml:space="preserve">5.5 </w:t>
      </w:r>
      <w:r>
        <w:rPr>
          <w:rFonts w:hint="eastAsia" w:ascii="宋体" w:hAnsi="宋体"/>
          <w:b/>
          <w:sz w:val="28"/>
          <w:szCs w:val="28"/>
        </w:rPr>
        <w:t>成孔质量检查</w:t>
      </w:r>
      <w:bookmarkEnd w:id="56"/>
    </w:p>
    <w:p>
      <w:pPr>
        <w:spacing w:line="360" w:lineRule="auto"/>
        <w:ind w:firstLine="480" w:firstLineChars="200"/>
        <w:jc w:val="left"/>
        <w:rPr>
          <w:rFonts w:ascii="宋体"/>
          <w:sz w:val="24"/>
        </w:rPr>
      </w:pPr>
      <w:bookmarkStart w:id="57" w:name="_Toc131948943"/>
      <w:bookmarkStart w:id="58" w:name="_Toc131949216"/>
      <w:bookmarkStart w:id="59" w:name="_Toc131950255"/>
      <w:bookmarkStart w:id="60" w:name="_Toc131949650"/>
      <w:bookmarkStart w:id="61" w:name="_Toc131950586"/>
      <w:r>
        <w:rPr>
          <w:rFonts w:hint="eastAsia" w:ascii="宋体" w:hAnsi="宋体"/>
          <w:sz w:val="24"/>
        </w:rPr>
        <w:t>钻机移场后即可进行成孔质量检测。检测仪器选用</w:t>
      </w:r>
      <w:r>
        <w:rPr>
          <w:rFonts w:ascii="宋体" w:hAnsi="宋体"/>
          <w:sz w:val="24"/>
        </w:rPr>
        <w:t>CDJ-1</w:t>
      </w:r>
      <w:r>
        <w:rPr>
          <w:rFonts w:hint="eastAsia" w:ascii="宋体" w:hAnsi="宋体"/>
          <w:sz w:val="24"/>
        </w:rPr>
        <w:t>超声波大口径桩孔检测仪检测，检测的项目有孔深、孔径、孔形、垂直度、孔底沉淀厚度。仪器的主要技术指标如下：</w:t>
      </w:r>
      <w:bookmarkEnd w:id="57"/>
      <w:bookmarkEnd w:id="58"/>
      <w:bookmarkEnd w:id="59"/>
      <w:bookmarkEnd w:id="60"/>
      <w:bookmarkEnd w:id="61"/>
    </w:p>
    <w:p>
      <w:pPr>
        <w:numPr>
          <w:ilvl w:val="0"/>
          <w:numId w:val="4"/>
        </w:numPr>
        <w:spacing w:line="360" w:lineRule="auto"/>
        <w:jc w:val="left"/>
        <w:rPr>
          <w:rFonts w:ascii="宋体"/>
          <w:sz w:val="24"/>
        </w:rPr>
      </w:pPr>
      <w:r>
        <w:rPr>
          <w:rFonts w:hint="eastAsia" w:ascii="宋体" w:hAnsi="宋体"/>
          <w:sz w:val="24"/>
        </w:rPr>
        <w:t>径向测量范围：</w:t>
      </w:r>
      <w:r>
        <w:rPr>
          <w:rFonts w:ascii="宋体" w:hAnsi="宋体"/>
          <w:sz w:val="24"/>
        </w:rPr>
        <w:t>0.7</w:t>
      </w:r>
      <w:r>
        <w:rPr>
          <w:rFonts w:hint="eastAsia" w:ascii="宋体" w:hAnsi="宋体"/>
          <w:sz w:val="24"/>
        </w:rPr>
        <w:t>～</w:t>
      </w:r>
      <w:r>
        <w:rPr>
          <w:rFonts w:ascii="宋体" w:hAnsi="宋体"/>
          <w:sz w:val="24"/>
        </w:rPr>
        <w:t>3m</w:t>
      </w:r>
      <w:r>
        <w:rPr>
          <w:rFonts w:hint="eastAsia" w:ascii="宋体" w:hAnsi="宋体"/>
          <w:sz w:val="24"/>
        </w:rPr>
        <w:t>；</w:t>
      </w:r>
    </w:p>
    <w:p>
      <w:pPr>
        <w:numPr>
          <w:ilvl w:val="0"/>
          <w:numId w:val="4"/>
        </w:numPr>
        <w:spacing w:line="360" w:lineRule="auto"/>
        <w:jc w:val="left"/>
        <w:rPr>
          <w:rFonts w:ascii="宋体"/>
          <w:sz w:val="24"/>
        </w:rPr>
      </w:pPr>
      <w:r>
        <w:rPr>
          <w:rFonts w:hint="eastAsia" w:ascii="宋体" w:hAnsi="宋体"/>
          <w:sz w:val="24"/>
        </w:rPr>
        <w:t>径向测量精度：≤</w:t>
      </w:r>
      <w:r>
        <w:rPr>
          <w:rFonts w:ascii="宋体" w:hAnsi="宋体"/>
          <w:sz w:val="24"/>
        </w:rPr>
        <w:t>2%</w:t>
      </w:r>
      <w:r>
        <w:rPr>
          <w:rFonts w:hint="eastAsia" w:ascii="宋体" w:hAnsi="宋体"/>
          <w:sz w:val="24"/>
        </w:rPr>
        <w:t>；</w:t>
      </w:r>
    </w:p>
    <w:p>
      <w:pPr>
        <w:numPr>
          <w:ilvl w:val="0"/>
          <w:numId w:val="4"/>
        </w:numPr>
        <w:spacing w:line="360" w:lineRule="auto"/>
        <w:jc w:val="left"/>
        <w:rPr>
          <w:rFonts w:ascii="宋体"/>
          <w:sz w:val="24"/>
        </w:rPr>
      </w:pPr>
      <w:r>
        <w:rPr>
          <w:rFonts w:hint="eastAsia" w:ascii="宋体" w:hAnsi="宋体"/>
          <w:sz w:val="24"/>
        </w:rPr>
        <w:t>孔深测量范围：</w:t>
      </w:r>
      <w:r>
        <w:rPr>
          <w:rFonts w:ascii="宋体"/>
          <w:sz w:val="24"/>
        </w:rPr>
        <w:t>0</w:t>
      </w:r>
      <w:r>
        <w:rPr>
          <w:rFonts w:hint="eastAsia" w:ascii="宋体" w:hAnsi="宋体"/>
          <w:sz w:val="24"/>
        </w:rPr>
        <w:t>～</w:t>
      </w:r>
      <w:r>
        <w:rPr>
          <w:rFonts w:ascii="宋体" w:hAnsi="宋体"/>
          <w:sz w:val="24"/>
        </w:rPr>
        <w:t>100m</w:t>
      </w:r>
      <w:r>
        <w:rPr>
          <w:rFonts w:hint="eastAsia" w:ascii="宋体" w:hAnsi="宋体"/>
          <w:sz w:val="24"/>
        </w:rPr>
        <w:t>；</w:t>
      </w:r>
    </w:p>
    <w:p>
      <w:pPr>
        <w:numPr>
          <w:ilvl w:val="0"/>
          <w:numId w:val="4"/>
        </w:numPr>
        <w:spacing w:line="360" w:lineRule="auto"/>
        <w:jc w:val="left"/>
        <w:rPr>
          <w:rFonts w:ascii="宋体"/>
          <w:sz w:val="24"/>
        </w:rPr>
      </w:pPr>
      <w:r>
        <w:rPr>
          <w:rFonts w:hint="eastAsia" w:ascii="宋体" w:hAnsi="宋体"/>
          <w:sz w:val="24"/>
        </w:rPr>
        <w:t>孔深测量精度：≤</w:t>
      </w:r>
      <w:r>
        <w:rPr>
          <w:rFonts w:ascii="宋体"/>
          <w:sz w:val="24"/>
        </w:rPr>
        <w:t>0.</w:t>
      </w:r>
      <w:r>
        <w:rPr>
          <w:rFonts w:ascii="宋体" w:hAnsi="宋体"/>
          <w:sz w:val="24"/>
        </w:rPr>
        <w:t>5%</w:t>
      </w:r>
      <w:r>
        <w:rPr>
          <w:rFonts w:hint="eastAsia" w:ascii="宋体" w:hAnsi="宋体"/>
          <w:sz w:val="24"/>
        </w:rPr>
        <w:t>；</w:t>
      </w:r>
    </w:p>
    <w:p>
      <w:pPr>
        <w:numPr>
          <w:ilvl w:val="0"/>
          <w:numId w:val="4"/>
        </w:numPr>
        <w:spacing w:line="360" w:lineRule="auto"/>
        <w:jc w:val="left"/>
        <w:rPr>
          <w:rFonts w:ascii="宋体"/>
          <w:sz w:val="24"/>
        </w:rPr>
      </w:pPr>
      <w:r>
        <w:rPr>
          <w:rFonts w:hint="eastAsia" w:ascii="宋体" w:hAnsi="宋体"/>
          <w:sz w:val="24"/>
        </w:rPr>
        <w:t>沉碴厚度测量范围：</w:t>
      </w:r>
      <w:r>
        <w:rPr>
          <w:rFonts w:ascii="宋体"/>
          <w:sz w:val="24"/>
        </w:rPr>
        <w:t>0</w:t>
      </w:r>
      <w:r>
        <w:rPr>
          <w:rFonts w:hint="eastAsia" w:ascii="宋体" w:hAnsi="宋体"/>
          <w:sz w:val="24"/>
        </w:rPr>
        <w:t>～</w:t>
      </w:r>
      <w:r>
        <w:rPr>
          <w:rFonts w:ascii="宋体" w:hAnsi="宋体"/>
          <w:sz w:val="24"/>
        </w:rPr>
        <w:t>20cm</w:t>
      </w:r>
      <w:r>
        <w:rPr>
          <w:rFonts w:hint="eastAsia" w:ascii="宋体" w:hAnsi="宋体"/>
          <w:sz w:val="24"/>
        </w:rPr>
        <w:t>；</w:t>
      </w:r>
    </w:p>
    <w:p>
      <w:pPr>
        <w:numPr>
          <w:ilvl w:val="0"/>
          <w:numId w:val="4"/>
        </w:numPr>
        <w:spacing w:line="360" w:lineRule="auto"/>
        <w:jc w:val="left"/>
        <w:rPr>
          <w:rFonts w:ascii="宋体"/>
          <w:sz w:val="24"/>
        </w:rPr>
      </w:pPr>
      <w:r>
        <w:rPr>
          <w:rFonts w:hint="eastAsia" w:ascii="宋体" w:hAnsi="宋体"/>
          <w:sz w:val="24"/>
        </w:rPr>
        <w:t>沉碴厚度测量精度：端承桩≤</w:t>
      </w:r>
      <w:r>
        <w:rPr>
          <w:rFonts w:ascii="宋体" w:hAnsi="宋体"/>
          <w:sz w:val="24"/>
        </w:rPr>
        <w:t>1cm</w:t>
      </w:r>
      <w:r>
        <w:rPr>
          <w:rFonts w:hint="eastAsia" w:ascii="宋体" w:hAnsi="宋体"/>
          <w:sz w:val="24"/>
        </w:rPr>
        <w:t>，非端承桩≤</w:t>
      </w:r>
      <w:r>
        <w:rPr>
          <w:rFonts w:ascii="宋体" w:hAnsi="宋体"/>
          <w:sz w:val="24"/>
        </w:rPr>
        <w:t>2cm</w:t>
      </w:r>
      <w:r>
        <w:rPr>
          <w:rFonts w:hint="eastAsia" w:ascii="宋体" w:hAnsi="宋体"/>
          <w:sz w:val="24"/>
        </w:rPr>
        <w:t>；</w:t>
      </w:r>
    </w:p>
    <w:p>
      <w:pPr>
        <w:numPr>
          <w:ilvl w:val="0"/>
          <w:numId w:val="4"/>
        </w:numPr>
        <w:spacing w:line="360" w:lineRule="auto"/>
        <w:jc w:val="left"/>
        <w:rPr>
          <w:rFonts w:ascii="宋体"/>
          <w:sz w:val="24"/>
        </w:rPr>
      </w:pPr>
      <w:r>
        <w:rPr>
          <w:rFonts w:hint="eastAsia" w:ascii="宋体" w:hAnsi="宋体"/>
          <w:sz w:val="24"/>
        </w:rPr>
        <w:t>适用泥浆条件：比重＜</w:t>
      </w:r>
      <w:r>
        <w:rPr>
          <w:rFonts w:ascii="宋体" w:hAnsi="宋体"/>
          <w:sz w:val="24"/>
        </w:rPr>
        <w:t>1.20</w:t>
      </w:r>
      <w:r>
        <w:rPr>
          <w:rFonts w:hint="eastAsia" w:ascii="宋体" w:hAnsi="宋体"/>
          <w:sz w:val="24"/>
        </w:rPr>
        <w:t>，粘度＜</w:t>
      </w:r>
      <w:r>
        <w:rPr>
          <w:rFonts w:ascii="宋体" w:hAnsi="宋体"/>
          <w:sz w:val="24"/>
        </w:rPr>
        <w:t>21</w:t>
      </w:r>
      <w:r>
        <w:rPr>
          <w:rFonts w:hint="eastAsia" w:ascii="宋体" w:hAnsi="宋体"/>
          <w:sz w:val="24"/>
        </w:rPr>
        <w:t>秒，（用国产试验仪器测量值）。</w:t>
      </w:r>
    </w:p>
    <w:p>
      <w:pPr>
        <w:numPr>
          <w:ilvl w:val="0"/>
          <w:numId w:val="4"/>
        </w:numPr>
        <w:spacing w:line="360" w:lineRule="auto"/>
        <w:jc w:val="left"/>
        <w:rPr>
          <w:rFonts w:ascii="宋体"/>
          <w:sz w:val="24"/>
        </w:rPr>
      </w:pPr>
      <w:r>
        <w:rPr>
          <w:rFonts w:hint="eastAsia" w:ascii="宋体" w:hAnsi="宋体"/>
          <w:sz w:val="24"/>
        </w:rPr>
        <w:t>适用环境温度：</w:t>
      </w:r>
      <w:r>
        <w:rPr>
          <w:rFonts w:ascii="宋体"/>
          <w:sz w:val="24"/>
        </w:rPr>
        <w:t>0</w:t>
      </w:r>
      <w:r>
        <w:rPr>
          <w:rFonts w:hint="eastAsia" w:ascii="宋体" w:hAnsi="宋体"/>
          <w:sz w:val="24"/>
        </w:rPr>
        <w:t>～</w:t>
      </w:r>
      <w:r>
        <w:rPr>
          <w:rFonts w:ascii="宋体" w:hAnsi="宋体"/>
          <w:sz w:val="24"/>
        </w:rPr>
        <w:t>40</w:t>
      </w:r>
      <w:r>
        <w:rPr>
          <w:rFonts w:hint="eastAsia" w:ascii="宋体" w:hAnsi="宋体"/>
          <w:sz w:val="24"/>
        </w:rPr>
        <w:t>℃</w:t>
      </w:r>
      <w:r>
        <w:rPr>
          <w:rFonts w:ascii="宋体" w:hAnsi="宋体"/>
          <w:sz w:val="24"/>
        </w:rPr>
        <w:t xml:space="preserve"> </w:t>
      </w:r>
    </w:p>
    <w:p>
      <w:pPr>
        <w:spacing w:line="360" w:lineRule="auto"/>
        <w:ind w:firstLine="632" w:firstLineChars="300"/>
        <w:jc w:val="center"/>
        <w:rPr>
          <w:rFonts w:ascii="宋体"/>
          <w:b/>
          <w:szCs w:val="21"/>
        </w:rPr>
      </w:pPr>
      <w:r>
        <w:rPr>
          <w:rFonts w:hint="eastAsia" w:ascii="宋体" w:hAnsi="宋体"/>
          <w:b/>
          <w:szCs w:val="21"/>
        </w:rPr>
        <w:t>表</w:t>
      </w:r>
      <w:r>
        <w:rPr>
          <w:rFonts w:ascii="宋体" w:hAnsi="宋体"/>
          <w:b/>
          <w:szCs w:val="21"/>
        </w:rPr>
        <w:t xml:space="preserve">5-3 </w:t>
      </w:r>
      <w:r>
        <w:rPr>
          <w:rFonts w:hint="eastAsia" w:ascii="宋体" w:hAnsi="宋体"/>
          <w:b/>
          <w:szCs w:val="21"/>
        </w:rPr>
        <w:t>钻孔成孔质量验收标准</w:t>
      </w:r>
    </w:p>
    <w:tbl>
      <w:tblPr>
        <w:tblStyle w:val="29"/>
        <w:tblW w:w="8342" w:type="dxa"/>
        <w:jc w:val="center"/>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858"/>
        <w:gridCol w:w="3060"/>
        <w:gridCol w:w="4424"/>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858" w:type="dxa"/>
            <w:tcBorders>
              <w:top w:val="double" w:color="auto" w:sz="4" w:space="0"/>
            </w:tcBorders>
            <w:vAlign w:val="center"/>
          </w:tcPr>
          <w:p>
            <w:pPr>
              <w:pStyle w:val="55"/>
              <w:spacing w:line="360" w:lineRule="auto"/>
              <w:outlineLvl w:val="9"/>
              <w:rPr>
                <w:sz w:val="21"/>
                <w:szCs w:val="21"/>
              </w:rPr>
            </w:pPr>
            <w:r>
              <w:rPr>
                <w:rFonts w:hint="eastAsia"/>
                <w:sz w:val="21"/>
                <w:szCs w:val="21"/>
              </w:rPr>
              <w:t>序号</w:t>
            </w:r>
          </w:p>
        </w:tc>
        <w:tc>
          <w:tcPr>
            <w:tcW w:w="3060" w:type="dxa"/>
            <w:tcBorders>
              <w:top w:val="double" w:color="auto" w:sz="4" w:space="0"/>
            </w:tcBorders>
            <w:vAlign w:val="center"/>
          </w:tcPr>
          <w:p>
            <w:pPr>
              <w:pStyle w:val="55"/>
              <w:spacing w:line="360" w:lineRule="auto"/>
              <w:outlineLvl w:val="9"/>
              <w:rPr>
                <w:sz w:val="21"/>
                <w:szCs w:val="21"/>
              </w:rPr>
            </w:pPr>
            <w:r>
              <w:rPr>
                <w:rFonts w:hint="eastAsia"/>
                <w:sz w:val="21"/>
                <w:szCs w:val="21"/>
              </w:rPr>
              <w:t>项</w:t>
            </w:r>
            <w:r>
              <w:rPr>
                <w:sz w:val="21"/>
                <w:szCs w:val="21"/>
              </w:rPr>
              <w:t xml:space="preserve">     </w:t>
            </w:r>
            <w:r>
              <w:rPr>
                <w:rFonts w:hint="eastAsia"/>
                <w:sz w:val="21"/>
                <w:szCs w:val="21"/>
              </w:rPr>
              <w:t>目</w:t>
            </w:r>
          </w:p>
        </w:tc>
        <w:tc>
          <w:tcPr>
            <w:tcW w:w="4424" w:type="dxa"/>
            <w:tcBorders>
              <w:top w:val="double" w:color="auto" w:sz="4" w:space="0"/>
            </w:tcBorders>
            <w:vAlign w:val="center"/>
          </w:tcPr>
          <w:p>
            <w:pPr>
              <w:pStyle w:val="55"/>
              <w:spacing w:line="360" w:lineRule="auto"/>
              <w:outlineLvl w:val="9"/>
              <w:rPr>
                <w:sz w:val="21"/>
                <w:szCs w:val="21"/>
              </w:rPr>
            </w:pPr>
            <w:r>
              <w:rPr>
                <w:rFonts w:hint="eastAsia"/>
                <w:sz w:val="21"/>
                <w:szCs w:val="21"/>
              </w:rPr>
              <w:t>允许偏差</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858" w:type="dxa"/>
            <w:vAlign w:val="center"/>
          </w:tcPr>
          <w:p>
            <w:pPr>
              <w:pStyle w:val="55"/>
              <w:spacing w:line="360" w:lineRule="auto"/>
              <w:outlineLvl w:val="9"/>
              <w:rPr>
                <w:sz w:val="21"/>
                <w:szCs w:val="21"/>
              </w:rPr>
            </w:pPr>
            <w:r>
              <w:rPr>
                <w:sz w:val="21"/>
                <w:szCs w:val="21"/>
              </w:rPr>
              <w:t>1</w:t>
            </w:r>
          </w:p>
        </w:tc>
        <w:tc>
          <w:tcPr>
            <w:tcW w:w="3060" w:type="dxa"/>
            <w:vAlign w:val="center"/>
          </w:tcPr>
          <w:p>
            <w:pPr>
              <w:pStyle w:val="55"/>
              <w:spacing w:line="360" w:lineRule="auto"/>
              <w:outlineLvl w:val="9"/>
              <w:rPr>
                <w:sz w:val="21"/>
                <w:szCs w:val="21"/>
              </w:rPr>
            </w:pPr>
            <w:r>
              <w:rPr>
                <w:rFonts w:hint="eastAsia"/>
                <w:sz w:val="21"/>
                <w:szCs w:val="21"/>
              </w:rPr>
              <w:t>孔</w:t>
            </w:r>
            <w:r>
              <w:rPr>
                <w:sz w:val="21"/>
                <w:szCs w:val="21"/>
              </w:rPr>
              <w:t xml:space="preserve">   </w:t>
            </w:r>
            <w:r>
              <w:rPr>
                <w:rFonts w:hint="eastAsia"/>
                <w:sz w:val="21"/>
                <w:szCs w:val="21"/>
              </w:rPr>
              <w:t>径</w:t>
            </w:r>
          </w:p>
        </w:tc>
        <w:tc>
          <w:tcPr>
            <w:tcW w:w="4424" w:type="dxa"/>
            <w:vAlign w:val="center"/>
          </w:tcPr>
          <w:p>
            <w:pPr>
              <w:pStyle w:val="55"/>
              <w:spacing w:line="360" w:lineRule="auto"/>
              <w:outlineLvl w:val="9"/>
              <w:rPr>
                <w:sz w:val="21"/>
                <w:szCs w:val="21"/>
              </w:rPr>
            </w:pPr>
            <w:r>
              <w:rPr>
                <w:rFonts w:hint="eastAsia"/>
                <w:sz w:val="21"/>
                <w:szCs w:val="21"/>
              </w:rPr>
              <w:t>不小于设计孔径</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858" w:type="dxa"/>
            <w:vAlign w:val="center"/>
          </w:tcPr>
          <w:p>
            <w:pPr>
              <w:pStyle w:val="55"/>
              <w:spacing w:line="360" w:lineRule="auto"/>
              <w:outlineLvl w:val="9"/>
              <w:rPr>
                <w:sz w:val="21"/>
                <w:szCs w:val="21"/>
              </w:rPr>
            </w:pPr>
            <w:r>
              <w:rPr>
                <w:sz w:val="21"/>
                <w:szCs w:val="21"/>
              </w:rPr>
              <w:t>2</w:t>
            </w:r>
          </w:p>
        </w:tc>
        <w:tc>
          <w:tcPr>
            <w:tcW w:w="3060" w:type="dxa"/>
            <w:vAlign w:val="center"/>
          </w:tcPr>
          <w:p>
            <w:pPr>
              <w:pStyle w:val="55"/>
              <w:spacing w:line="360" w:lineRule="auto"/>
              <w:outlineLvl w:val="9"/>
              <w:rPr>
                <w:sz w:val="21"/>
                <w:szCs w:val="21"/>
              </w:rPr>
            </w:pPr>
            <w:r>
              <w:rPr>
                <w:rFonts w:hint="eastAsia"/>
                <w:sz w:val="21"/>
                <w:szCs w:val="21"/>
              </w:rPr>
              <w:t>孔</w:t>
            </w:r>
            <w:r>
              <w:rPr>
                <w:sz w:val="21"/>
                <w:szCs w:val="21"/>
              </w:rPr>
              <w:t xml:space="preserve">   </w:t>
            </w:r>
            <w:r>
              <w:rPr>
                <w:rFonts w:hint="eastAsia"/>
                <w:sz w:val="21"/>
                <w:szCs w:val="21"/>
              </w:rPr>
              <w:t>深</w:t>
            </w:r>
          </w:p>
        </w:tc>
        <w:tc>
          <w:tcPr>
            <w:tcW w:w="4424" w:type="dxa"/>
            <w:vAlign w:val="center"/>
          </w:tcPr>
          <w:p>
            <w:pPr>
              <w:pStyle w:val="55"/>
              <w:spacing w:line="360" w:lineRule="auto"/>
              <w:outlineLvl w:val="9"/>
              <w:rPr>
                <w:sz w:val="21"/>
                <w:szCs w:val="21"/>
              </w:rPr>
            </w:pPr>
            <w:r>
              <w:rPr>
                <w:rFonts w:hint="eastAsia"/>
                <w:sz w:val="21"/>
                <w:szCs w:val="21"/>
              </w:rPr>
              <w:t>不小于设计孔深</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858" w:type="dxa"/>
            <w:vAlign w:val="center"/>
          </w:tcPr>
          <w:p>
            <w:pPr>
              <w:pStyle w:val="55"/>
              <w:spacing w:line="360" w:lineRule="auto"/>
              <w:outlineLvl w:val="9"/>
              <w:rPr>
                <w:sz w:val="21"/>
                <w:szCs w:val="21"/>
              </w:rPr>
            </w:pPr>
            <w:r>
              <w:rPr>
                <w:sz w:val="21"/>
                <w:szCs w:val="21"/>
              </w:rPr>
              <w:t>3</w:t>
            </w:r>
          </w:p>
        </w:tc>
        <w:tc>
          <w:tcPr>
            <w:tcW w:w="3060" w:type="dxa"/>
            <w:vAlign w:val="center"/>
          </w:tcPr>
          <w:p>
            <w:pPr>
              <w:pStyle w:val="55"/>
              <w:spacing w:line="360" w:lineRule="auto"/>
              <w:outlineLvl w:val="9"/>
              <w:rPr>
                <w:sz w:val="21"/>
                <w:szCs w:val="21"/>
              </w:rPr>
            </w:pPr>
            <w:r>
              <w:rPr>
                <w:rFonts w:hint="eastAsia"/>
                <w:sz w:val="21"/>
                <w:szCs w:val="21"/>
              </w:rPr>
              <w:t>孔</w:t>
            </w:r>
            <w:r>
              <w:rPr>
                <w:sz w:val="21"/>
                <w:szCs w:val="21"/>
              </w:rPr>
              <w:t xml:space="preserve">   </w:t>
            </w:r>
            <w:r>
              <w:rPr>
                <w:rFonts w:hint="eastAsia"/>
                <w:sz w:val="21"/>
                <w:szCs w:val="21"/>
              </w:rPr>
              <w:t>位</w:t>
            </w:r>
          </w:p>
        </w:tc>
        <w:tc>
          <w:tcPr>
            <w:tcW w:w="4424" w:type="dxa"/>
            <w:vAlign w:val="center"/>
          </w:tcPr>
          <w:p>
            <w:pPr>
              <w:pStyle w:val="55"/>
              <w:spacing w:line="360" w:lineRule="auto"/>
              <w:outlineLvl w:val="9"/>
              <w:rPr>
                <w:sz w:val="21"/>
                <w:szCs w:val="21"/>
              </w:rPr>
            </w:pPr>
            <w:r>
              <w:rPr>
                <w:sz w:val="21"/>
                <w:szCs w:val="21"/>
              </w:rPr>
              <w:t>50mm</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858" w:type="dxa"/>
            <w:vAlign w:val="center"/>
          </w:tcPr>
          <w:p>
            <w:pPr>
              <w:pStyle w:val="55"/>
              <w:spacing w:line="360" w:lineRule="auto"/>
              <w:outlineLvl w:val="9"/>
              <w:rPr>
                <w:sz w:val="21"/>
                <w:szCs w:val="21"/>
              </w:rPr>
            </w:pPr>
            <w:r>
              <w:rPr>
                <w:sz w:val="21"/>
                <w:szCs w:val="21"/>
              </w:rPr>
              <w:t>4</w:t>
            </w:r>
          </w:p>
        </w:tc>
        <w:tc>
          <w:tcPr>
            <w:tcW w:w="3060" w:type="dxa"/>
            <w:vAlign w:val="center"/>
          </w:tcPr>
          <w:p>
            <w:pPr>
              <w:pStyle w:val="55"/>
              <w:spacing w:line="360" w:lineRule="auto"/>
              <w:rPr>
                <w:sz w:val="21"/>
                <w:szCs w:val="21"/>
              </w:rPr>
            </w:pPr>
            <w:r>
              <w:rPr>
                <w:rFonts w:hint="eastAsia"/>
                <w:sz w:val="21"/>
                <w:szCs w:val="21"/>
              </w:rPr>
              <w:t>倾斜度</w:t>
            </w:r>
          </w:p>
        </w:tc>
        <w:tc>
          <w:tcPr>
            <w:tcW w:w="4424" w:type="dxa"/>
            <w:vAlign w:val="center"/>
          </w:tcPr>
          <w:p>
            <w:pPr>
              <w:pStyle w:val="55"/>
              <w:spacing w:line="360" w:lineRule="auto"/>
              <w:rPr>
                <w:sz w:val="21"/>
                <w:szCs w:val="21"/>
              </w:rPr>
            </w:pPr>
            <w:r>
              <w:rPr>
                <w:sz w:val="21"/>
                <w:szCs w:val="21"/>
              </w:rPr>
              <w:t>1%</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PrEx>
        <w:trPr>
          <w:trHeight w:val="397" w:hRule="atLeast"/>
          <w:tblHeader/>
          <w:jc w:val="center"/>
        </w:trPr>
        <w:tc>
          <w:tcPr>
            <w:tcW w:w="858" w:type="dxa"/>
            <w:vAlign w:val="center"/>
          </w:tcPr>
          <w:p>
            <w:pPr>
              <w:pStyle w:val="55"/>
              <w:spacing w:line="360" w:lineRule="auto"/>
              <w:outlineLvl w:val="9"/>
              <w:rPr>
                <w:sz w:val="21"/>
                <w:szCs w:val="21"/>
              </w:rPr>
            </w:pPr>
            <w:r>
              <w:rPr>
                <w:sz w:val="21"/>
                <w:szCs w:val="21"/>
              </w:rPr>
              <w:t>5</w:t>
            </w:r>
          </w:p>
        </w:tc>
        <w:tc>
          <w:tcPr>
            <w:tcW w:w="3060" w:type="dxa"/>
            <w:vAlign w:val="center"/>
          </w:tcPr>
          <w:p>
            <w:pPr>
              <w:pStyle w:val="55"/>
              <w:spacing w:line="360" w:lineRule="auto"/>
              <w:outlineLvl w:val="9"/>
              <w:rPr>
                <w:sz w:val="21"/>
                <w:szCs w:val="21"/>
              </w:rPr>
            </w:pPr>
            <w:r>
              <w:rPr>
                <w:rFonts w:hint="eastAsia"/>
                <w:sz w:val="21"/>
                <w:szCs w:val="21"/>
              </w:rPr>
              <w:t>灌注混凝土前孔底沉渣厚度</w:t>
            </w:r>
          </w:p>
        </w:tc>
        <w:tc>
          <w:tcPr>
            <w:tcW w:w="4424" w:type="dxa"/>
            <w:vAlign w:val="center"/>
          </w:tcPr>
          <w:p>
            <w:pPr>
              <w:pStyle w:val="55"/>
              <w:spacing w:line="360" w:lineRule="auto"/>
              <w:outlineLvl w:val="9"/>
              <w:rPr>
                <w:sz w:val="21"/>
                <w:szCs w:val="21"/>
              </w:rPr>
            </w:pPr>
            <w:r>
              <w:rPr>
                <w:rFonts w:hint="eastAsia"/>
                <w:sz w:val="21"/>
                <w:szCs w:val="21"/>
              </w:rPr>
              <w:t>≤</w:t>
            </w:r>
            <w:r>
              <w:rPr>
                <w:sz w:val="21"/>
                <w:szCs w:val="21"/>
              </w:rPr>
              <w:t>50mm</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858" w:type="dxa"/>
            <w:tcBorders>
              <w:bottom w:val="double" w:color="auto" w:sz="4" w:space="0"/>
            </w:tcBorders>
            <w:vAlign w:val="center"/>
          </w:tcPr>
          <w:p>
            <w:pPr>
              <w:pStyle w:val="55"/>
              <w:spacing w:line="360" w:lineRule="auto"/>
              <w:outlineLvl w:val="9"/>
              <w:rPr>
                <w:sz w:val="21"/>
                <w:szCs w:val="21"/>
              </w:rPr>
            </w:pPr>
            <w:r>
              <w:rPr>
                <w:sz w:val="21"/>
                <w:szCs w:val="21"/>
              </w:rPr>
              <w:t>6</w:t>
            </w:r>
          </w:p>
        </w:tc>
        <w:tc>
          <w:tcPr>
            <w:tcW w:w="3060" w:type="dxa"/>
            <w:tcBorders>
              <w:bottom w:val="double" w:color="auto" w:sz="4" w:space="0"/>
            </w:tcBorders>
            <w:vAlign w:val="center"/>
          </w:tcPr>
          <w:p>
            <w:pPr>
              <w:pStyle w:val="55"/>
              <w:spacing w:line="360" w:lineRule="auto"/>
              <w:outlineLvl w:val="9"/>
              <w:rPr>
                <w:sz w:val="21"/>
                <w:szCs w:val="21"/>
              </w:rPr>
            </w:pPr>
            <w:r>
              <w:rPr>
                <w:rFonts w:hint="eastAsia"/>
                <w:sz w:val="21"/>
                <w:szCs w:val="21"/>
              </w:rPr>
              <w:t>清孔后泥浆指标</w:t>
            </w:r>
          </w:p>
        </w:tc>
        <w:tc>
          <w:tcPr>
            <w:tcW w:w="4424" w:type="dxa"/>
            <w:tcBorders>
              <w:bottom w:val="double" w:color="auto" w:sz="4" w:space="0"/>
            </w:tcBorders>
            <w:vAlign w:val="center"/>
          </w:tcPr>
          <w:p>
            <w:pPr>
              <w:pStyle w:val="55"/>
              <w:spacing w:line="360" w:lineRule="auto"/>
              <w:outlineLvl w:val="9"/>
              <w:rPr>
                <w:sz w:val="21"/>
                <w:szCs w:val="21"/>
              </w:rPr>
            </w:pPr>
            <w:r>
              <w:rPr>
                <w:rFonts w:hint="eastAsia"/>
                <w:sz w:val="21"/>
                <w:szCs w:val="21"/>
              </w:rPr>
              <w:t>泥浆比重：≤</w:t>
            </w:r>
            <w:r>
              <w:rPr>
                <w:sz w:val="21"/>
                <w:szCs w:val="21"/>
              </w:rPr>
              <w:t>1.25</w:t>
            </w:r>
            <w:r>
              <w:rPr>
                <w:rFonts w:hint="eastAsia"/>
                <w:sz w:val="21"/>
                <w:szCs w:val="21"/>
              </w:rPr>
              <w:t>；含砂率：</w:t>
            </w:r>
            <w:r>
              <w:rPr>
                <w:sz w:val="21"/>
                <w:szCs w:val="21"/>
              </w:rPr>
              <w:t>&lt;8%</w:t>
            </w:r>
            <w:r>
              <w:rPr>
                <w:rFonts w:hint="eastAsia"/>
                <w:sz w:val="21"/>
                <w:szCs w:val="21"/>
              </w:rPr>
              <w:t>；</w:t>
            </w:r>
          </w:p>
          <w:p>
            <w:pPr>
              <w:pStyle w:val="55"/>
              <w:spacing w:line="360" w:lineRule="auto"/>
              <w:outlineLvl w:val="9"/>
              <w:rPr>
                <w:sz w:val="21"/>
                <w:szCs w:val="21"/>
              </w:rPr>
            </w:pPr>
            <w:r>
              <w:rPr>
                <w:rFonts w:hint="eastAsia"/>
                <w:sz w:val="21"/>
                <w:szCs w:val="21"/>
              </w:rPr>
              <w:t>粘度：</w:t>
            </w:r>
            <w:r>
              <w:rPr>
                <w:sz w:val="21"/>
                <w:szCs w:val="21"/>
              </w:rPr>
              <w:t>&lt;28s</w:t>
            </w:r>
            <w:r>
              <w:rPr>
                <w:rFonts w:hint="eastAsia"/>
                <w:sz w:val="21"/>
                <w:szCs w:val="21"/>
              </w:rPr>
              <w:t>；</w:t>
            </w:r>
          </w:p>
        </w:tc>
      </w:tr>
    </w:tbl>
    <w:p>
      <w:pPr>
        <w:spacing w:line="360" w:lineRule="auto"/>
        <w:outlineLvl w:val="1"/>
        <w:rPr>
          <w:rFonts w:ascii="宋体"/>
          <w:b/>
          <w:sz w:val="28"/>
          <w:szCs w:val="28"/>
        </w:rPr>
      </w:pPr>
    </w:p>
    <w:p>
      <w:pPr>
        <w:spacing w:line="360" w:lineRule="auto"/>
        <w:jc w:val="center"/>
        <w:outlineLvl w:val="1"/>
        <w:rPr>
          <w:rFonts w:ascii="宋体"/>
          <w:b/>
          <w:sz w:val="28"/>
          <w:szCs w:val="28"/>
        </w:rPr>
      </w:pPr>
      <w:bookmarkStart w:id="62" w:name="_Toc350517637"/>
    </w:p>
    <w:p>
      <w:pPr>
        <w:spacing w:line="360" w:lineRule="auto"/>
        <w:jc w:val="center"/>
        <w:outlineLvl w:val="1"/>
        <w:rPr>
          <w:rFonts w:ascii="宋体"/>
          <w:b/>
          <w:sz w:val="28"/>
          <w:szCs w:val="28"/>
        </w:rPr>
      </w:pPr>
    </w:p>
    <w:p>
      <w:pPr>
        <w:spacing w:line="360" w:lineRule="auto"/>
        <w:jc w:val="center"/>
        <w:outlineLvl w:val="1"/>
        <w:rPr>
          <w:rFonts w:ascii="宋体"/>
          <w:b/>
          <w:sz w:val="28"/>
          <w:szCs w:val="28"/>
        </w:rPr>
      </w:pPr>
    </w:p>
    <w:p>
      <w:pPr>
        <w:spacing w:line="360" w:lineRule="auto"/>
        <w:jc w:val="center"/>
        <w:outlineLvl w:val="1"/>
        <w:rPr>
          <w:rFonts w:ascii="宋体"/>
          <w:b/>
          <w:sz w:val="28"/>
          <w:szCs w:val="28"/>
        </w:rPr>
      </w:pPr>
    </w:p>
    <w:p>
      <w:pPr>
        <w:spacing w:line="360" w:lineRule="auto"/>
        <w:outlineLvl w:val="1"/>
        <w:rPr>
          <w:rFonts w:ascii="宋体"/>
          <w:b/>
          <w:sz w:val="32"/>
          <w:szCs w:val="32"/>
        </w:rPr>
      </w:pPr>
    </w:p>
    <w:p>
      <w:pPr>
        <w:spacing w:line="360" w:lineRule="auto"/>
        <w:jc w:val="center"/>
        <w:outlineLvl w:val="1"/>
        <w:rPr>
          <w:rFonts w:ascii="宋体"/>
          <w:b/>
          <w:sz w:val="32"/>
          <w:szCs w:val="32"/>
        </w:rPr>
      </w:pPr>
      <w:bookmarkStart w:id="63" w:name="_Toc353351887"/>
      <w:r>
        <w:rPr>
          <w:rFonts w:hint="eastAsia" w:ascii="宋体" w:hAnsi="宋体"/>
          <w:b/>
          <w:sz w:val="32"/>
          <w:szCs w:val="32"/>
        </w:rPr>
        <w:t>第六章</w:t>
      </w:r>
      <w:r>
        <w:rPr>
          <w:rFonts w:ascii="宋体" w:hAnsi="宋体"/>
          <w:b/>
          <w:sz w:val="32"/>
          <w:szCs w:val="32"/>
        </w:rPr>
        <w:t xml:space="preserve"> </w:t>
      </w:r>
      <w:r>
        <w:rPr>
          <w:rFonts w:hint="eastAsia" w:ascii="宋体" w:hAnsi="宋体"/>
          <w:b/>
          <w:sz w:val="32"/>
          <w:szCs w:val="32"/>
        </w:rPr>
        <w:t>钢筋笼制作与安装</w:t>
      </w:r>
      <w:bookmarkEnd w:id="62"/>
      <w:bookmarkEnd w:id="63"/>
    </w:p>
    <w:p>
      <w:pPr>
        <w:spacing w:line="360" w:lineRule="auto"/>
        <w:outlineLvl w:val="2"/>
        <w:rPr>
          <w:rFonts w:ascii="宋体"/>
          <w:b/>
          <w:sz w:val="28"/>
          <w:szCs w:val="28"/>
        </w:rPr>
      </w:pPr>
      <w:bookmarkStart w:id="64" w:name="_Toc353351888"/>
      <w:r>
        <w:rPr>
          <w:rFonts w:ascii="宋体" w:hAnsi="宋体"/>
          <w:b/>
          <w:sz w:val="28"/>
          <w:szCs w:val="28"/>
        </w:rPr>
        <w:t xml:space="preserve">6.1 </w:t>
      </w:r>
      <w:r>
        <w:rPr>
          <w:rFonts w:hint="eastAsia" w:ascii="宋体" w:hAnsi="宋体"/>
          <w:b/>
          <w:sz w:val="28"/>
          <w:szCs w:val="28"/>
        </w:rPr>
        <w:t>材料进场</w:t>
      </w:r>
      <w:bookmarkEnd w:id="64"/>
    </w:p>
    <w:p>
      <w:pPr>
        <w:pStyle w:val="62"/>
        <w:numPr>
          <w:ilvl w:val="0"/>
          <w:numId w:val="5"/>
        </w:numPr>
        <w:spacing w:line="360" w:lineRule="auto"/>
        <w:ind w:firstLineChars="0"/>
        <w:rPr>
          <w:rFonts w:ascii="宋体"/>
          <w:sz w:val="24"/>
        </w:rPr>
      </w:pPr>
      <w:r>
        <w:rPr>
          <w:rFonts w:hint="eastAsia" w:ascii="宋体" w:hAnsi="宋体"/>
          <w:sz w:val="24"/>
        </w:rPr>
        <w:t>钢筋笼原材料进场后，首先要检验进场材料的等级、规格和产品外观，检查无误后再检验其出厂质量合格证书和质量检验报告单。无合格证书和质量检验报告单的应不予验收。</w:t>
      </w:r>
    </w:p>
    <w:p>
      <w:pPr>
        <w:pStyle w:val="62"/>
        <w:numPr>
          <w:ilvl w:val="0"/>
          <w:numId w:val="5"/>
        </w:numPr>
        <w:spacing w:line="360" w:lineRule="auto"/>
        <w:ind w:firstLineChars="0"/>
        <w:rPr>
          <w:rFonts w:ascii="宋体"/>
          <w:sz w:val="24"/>
        </w:rPr>
      </w:pPr>
      <w:r>
        <w:rPr>
          <w:rFonts w:hint="eastAsia" w:ascii="宋体" w:hAnsi="宋体"/>
          <w:sz w:val="24"/>
        </w:rPr>
        <w:t>进场材料验收后，应按材料的不同种类、型号、规格、等级及生产厂家分别堆存，不得混杂，并设立识别标志，材料宜堆存在仓库（棚）内，钢筋露天堆置时，应垫高并加遮盖，以防淋雨锈蚀和其它污染，影响钢筋质量。</w:t>
      </w:r>
    </w:p>
    <w:p>
      <w:pPr>
        <w:spacing w:line="360" w:lineRule="auto"/>
        <w:outlineLvl w:val="2"/>
        <w:rPr>
          <w:rFonts w:ascii="宋体"/>
          <w:b/>
          <w:sz w:val="28"/>
          <w:szCs w:val="28"/>
        </w:rPr>
      </w:pPr>
      <w:bookmarkStart w:id="65" w:name="_Toc353351889"/>
      <w:r>
        <w:rPr>
          <w:rFonts w:ascii="宋体" w:hAnsi="宋体"/>
          <w:b/>
          <w:sz w:val="28"/>
          <w:szCs w:val="28"/>
        </w:rPr>
        <w:t xml:space="preserve">6.2 </w:t>
      </w:r>
      <w:r>
        <w:rPr>
          <w:rFonts w:hint="eastAsia" w:ascii="宋体" w:hAnsi="宋体"/>
          <w:b/>
          <w:sz w:val="28"/>
          <w:szCs w:val="28"/>
        </w:rPr>
        <w:t>钢筋笼的分节及下料</w:t>
      </w:r>
      <w:bookmarkEnd w:id="65"/>
    </w:p>
    <w:p>
      <w:pPr>
        <w:pStyle w:val="62"/>
        <w:numPr>
          <w:ilvl w:val="0"/>
          <w:numId w:val="6"/>
        </w:numPr>
        <w:spacing w:line="360" w:lineRule="auto"/>
        <w:ind w:firstLineChars="0"/>
        <w:rPr>
          <w:rFonts w:ascii="宋体"/>
          <w:sz w:val="24"/>
        </w:rPr>
      </w:pPr>
      <w:r>
        <w:rPr>
          <w:rFonts w:hint="eastAsia" w:ascii="宋体" w:hAnsi="宋体"/>
          <w:sz w:val="24"/>
        </w:rPr>
        <w:t>在钢筋车间内长线胎模上分段制作钢筋笼。</w:t>
      </w:r>
    </w:p>
    <w:p>
      <w:pPr>
        <w:pStyle w:val="62"/>
        <w:numPr>
          <w:ilvl w:val="0"/>
          <w:numId w:val="6"/>
        </w:numPr>
        <w:spacing w:line="360" w:lineRule="auto"/>
        <w:ind w:firstLineChars="0"/>
        <w:rPr>
          <w:rFonts w:ascii="宋体"/>
          <w:sz w:val="24"/>
        </w:rPr>
      </w:pPr>
      <w:r>
        <w:rPr>
          <w:rFonts w:hint="eastAsia" w:ascii="宋体" w:hAnsi="宋体"/>
          <w:sz w:val="24"/>
        </w:rPr>
        <w:t>钢筋下料可用砂轮切割机、专用切割机等下料。</w:t>
      </w:r>
    </w:p>
    <w:p>
      <w:pPr>
        <w:spacing w:line="360" w:lineRule="auto"/>
        <w:outlineLvl w:val="2"/>
        <w:rPr>
          <w:rFonts w:ascii="宋体"/>
          <w:b/>
          <w:sz w:val="28"/>
          <w:szCs w:val="28"/>
        </w:rPr>
      </w:pPr>
      <w:bookmarkStart w:id="66" w:name="_Toc353351890"/>
      <w:r>
        <w:rPr>
          <w:rFonts w:ascii="宋体" w:hAnsi="宋体"/>
          <w:b/>
          <w:sz w:val="28"/>
          <w:szCs w:val="28"/>
        </w:rPr>
        <w:t>6.3</w:t>
      </w:r>
      <w:r>
        <w:rPr>
          <w:rFonts w:hint="eastAsia" w:ascii="宋体" w:hAnsi="宋体"/>
          <w:b/>
          <w:sz w:val="28"/>
          <w:szCs w:val="28"/>
        </w:rPr>
        <w:t>钢筋笼制作</w:t>
      </w:r>
      <w:bookmarkEnd w:id="66"/>
    </w:p>
    <w:p>
      <w:pPr>
        <w:pStyle w:val="62"/>
        <w:numPr>
          <w:ilvl w:val="0"/>
          <w:numId w:val="7"/>
        </w:numPr>
        <w:spacing w:line="360" w:lineRule="auto"/>
        <w:ind w:firstLineChars="0"/>
        <w:rPr>
          <w:rFonts w:ascii="宋体"/>
          <w:sz w:val="24"/>
        </w:rPr>
      </w:pPr>
      <w:r>
        <w:rPr>
          <w:rFonts w:hint="eastAsia" w:ascii="宋体" w:hAnsi="宋体"/>
          <w:sz w:val="24"/>
        </w:rPr>
        <w:t>钢筋笼在专用加工场地内的钢筋胎模上制作加工，加工生产区内共布置</w:t>
      </w:r>
      <w:r>
        <w:rPr>
          <w:rFonts w:ascii="宋体" w:hAnsi="宋体"/>
          <w:sz w:val="24"/>
        </w:rPr>
        <w:t>2</w:t>
      </w:r>
      <w:r>
        <w:rPr>
          <w:rFonts w:hint="eastAsia" w:ascii="宋体" w:hAnsi="宋体"/>
          <w:sz w:val="24"/>
        </w:rPr>
        <w:t>条生产线</w:t>
      </w:r>
      <w:r>
        <w:rPr>
          <w:rFonts w:hint="eastAsia" w:ascii="宋体" w:hAnsi="宋体"/>
          <w:color w:val="000000"/>
          <w:sz w:val="24"/>
        </w:rPr>
        <w:t>。</w:t>
      </w:r>
      <w:r>
        <w:rPr>
          <w:rFonts w:hint="eastAsia" w:ascii="宋体" w:hAnsi="宋体"/>
          <w:sz w:val="24"/>
        </w:rPr>
        <w:t>施工前对钢筋笼加工场地地面进行硬化处理，在处理好的地基上浇注胎模基础，基础顶面高程应用水准仪检测，相邻基础的高差应控制在</w:t>
      </w:r>
      <w:r>
        <w:rPr>
          <w:rFonts w:ascii="宋体" w:hAnsi="宋体"/>
          <w:sz w:val="24"/>
        </w:rPr>
        <w:t>1cm</w:t>
      </w:r>
      <w:r>
        <w:rPr>
          <w:rFonts w:hint="eastAsia" w:ascii="宋体" w:hAnsi="宋体"/>
          <w:sz w:val="24"/>
        </w:rPr>
        <w:t>以内，在钢筋笼制造过程中应经常检测基础下沉、变形和位移等情况，如发现超出允许值的应及时调整。</w:t>
      </w:r>
    </w:p>
    <w:p>
      <w:pPr>
        <w:pStyle w:val="62"/>
        <w:numPr>
          <w:ilvl w:val="0"/>
          <w:numId w:val="7"/>
        </w:numPr>
        <w:spacing w:line="360" w:lineRule="auto"/>
        <w:ind w:firstLineChars="0"/>
        <w:rPr>
          <w:rFonts w:ascii="宋体"/>
          <w:sz w:val="24"/>
        </w:rPr>
      </w:pPr>
      <w:r>
        <w:rPr>
          <w:rFonts w:hint="eastAsia" w:ascii="宋体" w:hAnsi="宋体"/>
          <w:sz w:val="24"/>
        </w:rPr>
        <w:t>在处理好的基础上安装钢结构胎模，钢结构胎模在单桩钢筋笼长度方向每隔</w:t>
      </w:r>
      <w:r>
        <w:rPr>
          <w:rFonts w:ascii="宋体" w:hAnsi="宋体"/>
          <w:sz w:val="24"/>
        </w:rPr>
        <w:t>2.5m</w:t>
      </w:r>
      <w:r>
        <w:rPr>
          <w:rFonts w:hint="eastAsia" w:ascii="宋体" w:hAnsi="宋体"/>
          <w:sz w:val="24"/>
        </w:rPr>
        <w:t>左右布设一道。单桩钢筋笼连续制作，各桩钢筋笼流水施工，即单桩钢筋笼加工第三节时，将第一节、第二节钢筋笼连接的直螺纹套筒用扳手拧开，将第一节钢筋笼吊至钢筋笼存放区存放，同时在吊开钢筋笼而空出的胎模上制作另一根桩的第一节钢筋笼；第三节钢筋笼的制作以第二节钢筋笼为基础进行制作，按相同原理进行后序钢筋笼节段的加工</w:t>
      </w:r>
      <w:r>
        <w:rPr>
          <w:rFonts w:hint="eastAsia" w:ascii="宋体" w:hAnsi="宋体"/>
          <w:color w:val="000000"/>
          <w:sz w:val="24"/>
        </w:rPr>
        <w:t>。</w:t>
      </w:r>
    </w:p>
    <w:p>
      <w:pPr>
        <w:pStyle w:val="62"/>
        <w:numPr>
          <w:ilvl w:val="0"/>
          <w:numId w:val="7"/>
        </w:numPr>
        <w:spacing w:line="360" w:lineRule="auto"/>
        <w:ind w:firstLineChars="0"/>
        <w:rPr>
          <w:rFonts w:ascii="宋体"/>
          <w:sz w:val="24"/>
        </w:rPr>
      </w:pPr>
      <w:r>
        <w:rPr>
          <w:rFonts w:hint="eastAsia" w:ascii="宋体" w:hAnsi="宋体"/>
          <w:sz w:val="24"/>
        </w:rPr>
        <w:t>钢筋笼加工时要确保主筋位置准确，按照设计图纸的要求加骨架耳环及保护层垫块，控制与孔壁的间距尤其在骨架上口更应调整好间距，下口内收并加焊钢筋。钢筋笼保护层采用φ</w:t>
      </w:r>
      <w:r>
        <w:rPr>
          <w:rFonts w:ascii="宋体" w:hAnsi="宋体"/>
          <w:sz w:val="24"/>
        </w:rPr>
        <w:t>16</w:t>
      </w:r>
      <w:r>
        <w:rPr>
          <w:rFonts w:hint="eastAsia" w:ascii="宋体" w:hAnsi="宋体"/>
          <w:sz w:val="24"/>
        </w:rPr>
        <w:t>钢筋或</w:t>
      </w:r>
      <w:r>
        <w:rPr>
          <w:rFonts w:ascii="宋体" w:hAnsi="宋体"/>
          <w:sz w:val="24"/>
        </w:rPr>
        <w:t>C30</w:t>
      </w:r>
      <w:r>
        <w:rPr>
          <w:rFonts w:hint="eastAsia" w:ascii="宋体" w:hAnsi="宋体"/>
          <w:sz w:val="24"/>
        </w:rPr>
        <w:t>细石砼制成的轮片。</w:t>
      </w:r>
      <w:r>
        <w:rPr>
          <w:rFonts w:hint="eastAsia" w:ascii="宋体" w:hAnsi="宋体"/>
          <w:color w:val="000080"/>
          <w:sz w:val="24"/>
        </w:rPr>
        <w:t>。</w:t>
      </w:r>
    </w:p>
    <w:p>
      <w:pPr>
        <w:spacing w:line="360" w:lineRule="auto"/>
        <w:outlineLvl w:val="2"/>
        <w:rPr>
          <w:rFonts w:ascii="宋体"/>
          <w:b/>
          <w:sz w:val="28"/>
          <w:szCs w:val="28"/>
        </w:rPr>
      </w:pPr>
      <w:bookmarkStart w:id="67" w:name="_Toc353351891"/>
      <w:bookmarkStart w:id="68" w:name="_Toc350517638"/>
      <w:r>
        <w:rPr>
          <w:rFonts w:ascii="宋体" w:hAnsi="宋体"/>
          <w:b/>
          <w:sz w:val="28"/>
          <w:szCs w:val="28"/>
        </w:rPr>
        <w:t>6.4</w:t>
      </w:r>
      <w:r>
        <w:rPr>
          <w:rFonts w:hint="eastAsia" w:ascii="宋体" w:hAnsi="宋体"/>
          <w:b/>
          <w:sz w:val="28"/>
          <w:szCs w:val="28"/>
        </w:rPr>
        <w:t>钢筋笼的存放、运输、安装</w:t>
      </w:r>
      <w:bookmarkEnd w:id="67"/>
      <w:bookmarkEnd w:id="68"/>
    </w:p>
    <w:p>
      <w:pPr>
        <w:pStyle w:val="62"/>
        <w:numPr>
          <w:ilvl w:val="2"/>
          <w:numId w:val="8"/>
        </w:numPr>
        <w:spacing w:line="360" w:lineRule="auto"/>
        <w:ind w:firstLineChars="0"/>
        <w:rPr>
          <w:rFonts w:ascii="宋体"/>
          <w:sz w:val="24"/>
        </w:rPr>
      </w:pPr>
      <w:r>
        <w:rPr>
          <w:rFonts w:hint="eastAsia" w:ascii="宋体" w:hAnsi="宋体"/>
          <w:sz w:val="24"/>
        </w:rPr>
        <w:t>钢筋笼在生产场地内加工完毕后，分节吊装、通过平板车倒运至场地。</w:t>
      </w:r>
    </w:p>
    <w:p>
      <w:pPr>
        <w:pStyle w:val="62"/>
        <w:widowControl/>
        <w:numPr>
          <w:ilvl w:val="2"/>
          <w:numId w:val="8"/>
        </w:numPr>
        <w:shd w:val="clear" w:color="auto" w:fill="FFFFFF"/>
        <w:adjustRightInd w:val="0"/>
        <w:snapToGrid w:val="0"/>
        <w:spacing w:line="360" w:lineRule="auto"/>
        <w:ind w:firstLineChars="0"/>
        <w:jc w:val="left"/>
        <w:rPr>
          <w:rFonts w:ascii="宋体" w:cs="宋体"/>
          <w:color w:val="000000"/>
          <w:kern w:val="0"/>
          <w:sz w:val="24"/>
        </w:rPr>
      </w:pPr>
      <w:r>
        <w:rPr>
          <w:rFonts w:hint="eastAsia" w:ascii="宋体" w:hAnsi="宋体" w:cs="宋体"/>
          <w:color w:val="000000"/>
          <w:kern w:val="0"/>
          <w:sz w:val="24"/>
        </w:rPr>
        <w:t>钢筋笼在加工棚集中制作，钢筋笼制作好后，用平车运至各桩位，采用起吊就位。为防止钢筋笼吊装运输过程中变形，每节端头、钢筋笼内环加强圈处用钢筋加焊防变形支撑，待钢筋笼起吊至孔口时，将支撑割除。</w:t>
      </w:r>
    </w:p>
    <w:p>
      <w:pPr>
        <w:pStyle w:val="62"/>
        <w:widowControl/>
        <w:numPr>
          <w:ilvl w:val="2"/>
          <w:numId w:val="8"/>
        </w:numPr>
        <w:shd w:val="clear" w:color="auto" w:fill="FFFFFF"/>
        <w:adjustRightInd w:val="0"/>
        <w:snapToGrid w:val="0"/>
        <w:spacing w:line="360" w:lineRule="auto"/>
        <w:ind w:firstLineChars="0"/>
        <w:jc w:val="left"/>
        <w:rPr>
          <w:rFonts w:ascii="宋体" w:cs="宋体"/>
          <w:color w:val="000000"/>
          <w:kern w:val="0"/>
          <w:sz w:val="24"/>
        </w:rPr>
      </w:pPr>
      <w:r>
        <w:rPr>
          <w:rFonts w:hint="eastAsia" w:ascii="宋体" w:hAnsi="宋体" w:cs="宋体"/>
          <w:color w:val="000000"/>
          <w:kern w:val="0"/>
          <w:sz w:val="24"/>
        </w:rPr>
        <w:t>钢筋笼在第一次清孔后下放，钢筋笼吊装入孔要准确，为防止钢筋骨架在浇筑混凝土时上浮，在钢筋笼上端均匀设置固定杆，支撑系统应对准中线，防止钢筋骨架的倾斜和移动。</w:t>
      </w:r>
    </w:p>
    <w:p>
      <w:pPr>
        <w:spacing w:line="360" w:lineRule="auto"/>
        <w:outlineLvl w:val="2"/>
        <w:rPr>
          <w:rFonts w:ascii="宋体"/>
          <w:b/>
          <w:sz w:val="28"/>
          <w:szCs w:val="28"/>
        </w:rPr>
      </w:pPr>
      <w:bookmarkStart w:id="69" w:name="_Toc353351892"/>
      <w:r>
        <w:rPr>
          <w:rFonts w:ascii="宋体" w:hAnsi="宋体"/>
          <w:b/>
          <w:sz w:val="28"/>
          <w:szCs w:val="28"/>
        </w:rPr>
        <w:t>6.5</w:t>
      </w:r>
      <w:r>
        <w:rPr>
          <w:rFonts w:hint="eastAsia" w:ascii="宋体" w:hAnsi="宋体"/>
          <w:b/>
          <w:sz w:val="28"/>
          <w:szCs w:val="28"/>
        </w:rPr>
        <w:t>工艺流程：</w:t>
      </w:r>
      <w:bookmarkEnd w:id="69"/>
    </w:p>
    <w:p>
      <w:pPr>
        <w:spacing w:line="360" w:lineRule="auto"/>
        <w:ind w:firstLine="480" w:firstLineChars="200"/>
        <w:rPr>
          <w:rFonts w:ascii="宋体"/>
          <w:sz w:val="24"/>
        </w:rPr>
      </w:pPr>
      <w:r>
        <w:rPr>
          <w:rFonts w:hint="eastAsia" w:ascii="宋体" w:hAnsi="宋体"/>
          <w:sz w:val="24"/>
        </w:rPr>
        <w:t>钢筋井上下料→安装加劲箍→主筋与加劲箍焊接→绑扎螺旋筋→吊钢筋笼到孔口安装→办理隐蔽手续→桩身砼浇筑。</w:t>
      </w:r>
    </w:p>
    <w:p>
      <w:pPr>
        <w:spacing w:line="360" w:lineRule="auto"/>
        <w:outlineLvl w:val="2"/>
        <w:rPr>
          <w:rFonts w:ascii="宋体"/>
          <w:b/>
          <w:sz w:val="28"/>
          <w:szCs w:val="28"/>
        </w:rPr>
      </w:pPr>
      <w:bookmarkStart w:id="70" w:name="_Toc350517639"/>
      <w:bookmarkStart w:id="71" w:name="_Toc353351893"/>
      <w:r>
        <w:rPr>
          <w:rFonts w:ascii="宋体" w:hAnsi="宋体"/>
          <w:b/>
          <w:sz w:val="28"/>
          <w:szCs w:val="28"/>
        </w:rPr>
        <w:t>6.6</w:t>
      </w:r>
      <w:r>
        <w:rPr>
          <w:rFonts w:hint="eastAsia" w:ascii="宋体" w:hAnsi="宋体"/>
          <w:b/>
          <w:sz w:val="28"/>
          <w:szCs w:val="28"/>
        </w:rPr>
        <w:t>声测管安装</w:t>
      </w:r>
      <w:bookmarkEnd w:id="70"/>
      <w:bookmarkEnd w:id="71"/>
    </w:p>
    <w:p>
      <w:pPr>
        <w:pStyle w:val="62"/>
        <w:numPr>
          <w:ilvl w:val="0"/>
          <w:numId w:val="9"/>
        </w:numPr>
        <w:spacing w:line="360" w:lineRule="auto"/>
        <w:ind w:firstLineChars="0"/>
        <w:rPr>
          <w:rFonts w:ascii="宋体"/>
          <w:sz w:val="24"/>
        </w:rPr>
      </w:pPr>
      <w:r>
        <w:rPr>
          <w:rFonts w:hint="eastAsia" w:ascii="宋体" w:hAnsi="宋体"/>
          <w:sz w:val="24"/>
        </w:rPr>
        <w:t>为了检测钻孔桩质量，在钢筋笼制作时，根据设计要求安装超声波检测管。</w:t>
      </w:r>
    </w:p>
    <w:p>
      <w:pPr>
        <w:pStyle w:val="62"/>
        <w:numPr>
          <w:ilvl w:val="0"/>
          <w:numId w:val="9"/>
        </w:numPr>
        <w:spacing w:line="360" w:lineRule="auto"/>
        <w:ind w:firstLineChars="0"/>
        <w:rPr>
          <w:rFonts w:ascii="宋体"/>
          <w:sz w:val="24"/>
        </w:rPr>
      </w:pPr>
      <w:r>
        <w:rPr>
          <w:rFonts w:hint="eastAsia" w:ascii="宋体" w:hAnsi="宋体"/>
          <w:sz w:val="24"/>
        </w:rPr>
        <w:t>钢筋笼按设计图纸绑扎成型后，在钢筋笼内侧圆周布置声测管，各管路套丝后用管箍连接并加固焊牢，顶部接长至与施工平台平齐并封闭。声测管安装垂直度容许偏差不大于</w:t>
      </w:r>
      <w:r>
        <w:rPr>
          <w:rFonts w:ascii="宋体" w:hAnsi="宋体"/>
          <w:sz w:val="24"/>
        </w:rPr>
        <w:t>0.5</w:t>
      </w:r>
      <w:r>
        <w:rPr>
          <w:rFonts w:hint="eastAsia" w:ascii="宋体" w:hAnsi="宋体"/>
          <w:sz w:val="24"/>
        </w:rPr>
        <w:t>％，且接头处孔壁过渡圆顺光滑。声测管底部焊接</w:t>
      </w:r>
      <w:r>
        <w:rPr>
          <w:rFonts w:ascii="宋体" w:hAnsi="宋体"/>
          <w:sz w:val="24"/>
        </w:rPr>
        <w:t>3mm</w:t>
      </w:r>
      <w:r>
        <w:rPr>
          <w:rFonts w:hint="eastAsia" w:ascii="宋体" w:hAnsi="宋体"/>
          <w:sz w:val="24"/>
        </w:rPr>
        <w:t>厚钢板封闭。</w:t>
      </w:r>
    </w:p>
    <w:p>
      <w:pPr>
        <w:spacing w:line="360" w:lineRule="auto"/>
        <w:jc w:val="center"/>
        <w:outlineLvl w:val="1"/>
        <w:rPr>
          <w:rFonts w:ascii="宋体"/>
          <w:b/>
          <w:sz w:val="32"/>
          <w:szCs w:val="32"/>
        </w:rPr>
      </w:pPr>
      <w:bookmarkStart w:id="72" w:name="_Toc350517640"/>
    </w:p>
    <w:p>
      <w:pPr>
        <w:spacing w:line="360" w:lineRule="auto"/>
        <w:jc w:val="center"/>
        <w:outlineLvl w:val="1"/>
        <w:rPr>
          <w:rFonts w:ascii="宋体"/>
          <w:b/>
          <w:sz w:val="32"/>
          <w:szCs w:val="32"/>
        </w:rPr>
      </w:pPr>
    </w:p>
    <w:p>
      <w:pPr>
        <w:spacing w:line="360" w:lineRule="auto"/>
        <w:jc w:val="center"/>
        <w:outlineLvl w:val="1"/>
        <w:rPr>
          <w:rFonts w:ascii="宋体"/>
          <w:b/>
          <w:sz w:val="32"/>
          <w:szCs w:val="32"/>
        </w:rPr>
      </w:pPr>
    </w:p>
    <w:p>
      <w:pPr>
        <w:spacing w:line="360" w:lineRule="auto"/>
        <w:jc w:val="center"/>
        <w:outlineLvl w:val="1"/>
        <w:rPr>
          <w:rFonts w:ascii="宋体"/>
          <w:b/>
          <w:sz w:val="32"/>
          <w:szCs w:val="32"/>
        </w:rPr>
      </w:pPr>
    </w:p>
    <w:p>
      <w:pPr>
        <w:spacing w:line="360" w:lineRule="auto"/>
        <w:jc w:val="center"/>
        <w:outlineLvl w:val="1"/>
        <w:rPr>
          <w:rFonts w:ascii="宋体"/>
          <w:b/>
          <w:sz w:val="32"/>
          <w:szCs w:val="32"/>
        </w:rPr>
      </w:pPr>
    </w:p>
    <w:p>
      <w:pPr>
        <w:spacing w:line="360" w:lineRule="auto"/>
        <w:jc w:val="center"/>
        <w:outlineLvl w:val="1"/>
        <w:rPr>
          <w:rFonts w:ascii="宋体"/>
          <w:b/>
          <w:sz w:val="32"/>
          <w:szCs w:val="32"/>
        </w:rPr>
      </w:pPr>
    </w:p>
    <w:p>
      <w:pPr>
        <w:spacing w:line="360" w:lineRule="auto"/>
        <w:jc w:val="center"/>
        <w:outlineLvl w:val="1"/>
        <w:rPr>
          <w:rFonts w:ascii="宋体"/>
          <w:b/>
          <w:sz w:val="32"/>
          <w:szCs w:val="32"/>
        </w:rPr>
      </w:pPr>
    </w:p>
    <w:p>
      <w:pPr>
        <w:spacing w:line="360" w:lineRule="auto"/>
        <w:outlineLvl w:val="1"/>
        <w:rPr>
          <w:rFonts w:ascii="宋体"/>
          <w:b/>
          <w:sz w:val="32"/>
          <w:szCs w:val="32"/>
        </w:rPr>
      </w:pPr>
    </w:p>
    <w:p>
      <w:pPr>
        <w:spacing w:line="360" w:lineRule="auto"/>
        <w:jc w:val="center"/>
        <w:outlineLvl w:val="1"/>
        <w:rPr>
          <w:rFonts w:ascii="宋体"/>
          <w:b/>
          <w:sz w:val="32"/>
          <w:szCs w:val="32"/>
        </w:rPr>
      </w:pPr>
    </w:p>
    <w:p>
      <w:pPr>
        <w:spacing w:line="360" w:lineRule="auto"/>
        <w:jc w:val="center"/>
        <w:outlineLvl w:val="1"/>
        <w:rPr>
          <w:rFonts w:ascii="宋体"/>
          <w:b/>
          <w:sz w:val="32"/>
          <w:szCs w:val="32"/>
        </w:rPr>
      </w:pPr>
      <w:bookmarkStart w:id="73" w:name="_Toc353351894"/>
      <w:r>
        <w:rPr>
          <w:rFonts w:hint="eastAsia" w:ascii="宋体" w:hAnsi="宋体"/>
          <w:b/>
          <w:sz w:val="32"/>
          <w:szCs w:val="32"/>
        </w:rPr>
        <w:t>第七章</w:t>
      </w:r>
      <w:r>
        <w:rPr>
          <w:rFonts w:ascii="宋体" w:hAnsi="宋体"/>
          <w:b/>
          <w:sz w:val="32"/>
          <w:szCs w:val="32"/>
        </w:rPr>
        <w:t xml:space="preserve"> </w:t>
      </w:r>
      <w:r>
        <w:rPr>
          <w:rFonts w:hint="eastAsia" w:ascii="宋体" w:hAnsi="宋体"/>
          <w:b/>
          <w:sz w:val="32"/>
          <w:szCs w:val="32"/>
        </w:rPr>
        <w:t>混凝土灌注</w:t>
      </w:r>
      <w:bookmarkEnd w:id="72"/>
      <w:bookmarkEnd w:id="73"/>
    </w:p>
    <w:p>
      <w:pPr>
        <w:spacing w:line="360" w:lineRule="auto"/>
        <w:outlineLvl w:val="2"/>
        <w:rPr>
          <w:rFonts w:ascii="宋体"/>
          <w:sz w:val="28"/>
          <w:szCs w:val="28"/>
        </w:rPr>
      </w:pPr>
      <w:bookmarkStart w:id="74" w:name="_Toc353351895"/>
      <w:r>
        <w:rPr>
          <w:rFonts w:ascii="宋体" w:hAnsi="宋体"/>
          <w:b/>
          <w:sz w:val="28"/>
          <w:szCs w:val="28"/>
        </w:rPr>
        <w:t xml:space="preserve">7.1 </w:t>
      </w:r>
      <w:r>
        <w:rPr>
          <w:rFonts w:hint="eastAsia" w:ascii="宋体" w:hAnsi="宋体"/>
          <w:b/>
          <w:sz w:val="28"/>
          <w:szCs w:val="28"/>
        </w:rPr>
        <w:t>混凝土配合比</w:t>
      </w:r>
      <w:bookmarkEnd w:id="74"/>
    </w:p>
    <w:p>
      <w:pPr>
        <w:pStyle w:val="62"/>
        <w:numPr>
          <w:ilvl w:val="2"/>
          <w:numId w:val="10"/>
        </w:numPr>
        <w:spacing w:line="360" w:lineRule="auto"/>
        <w:ind w:firstLineChars="0"/>
        <w:rPr>
          <w:rFonts w:ascii="宋体"/>
          <w:sz w:val="24"/>
        </w:rPr>
      </w:pPr>
      <w:r>
        <w:rPr>
          <w:rFonts w:hint="eastAsia" w:ascii="宋体" w:hAnsi="宋体"/>
          <w:sz w:val="24"/>
        </w:rPr>
        <w:t>钻孔桩开钻前应做好砼配合比的设计和试验工作，并将试验结果整理报请监理工程师审批。具体要求及内容如下：</w:t>
      </w:r>
      <w:r>
        <w:rPr>
          <w:rFonts w:ascii="宋体" w:hAnsi="宋体"/>
          <w:sz w:val="24"/>
        </w:rPr>
        <w:t xml:space="preserve"> </w:t>
      </w:r>
    </w:p>
    <w:p>
      <w:pPr>
        <w:pStyle w:val="62"/>
        <w:numPr>
          <w:ilvl w:val="2"/>
          <w:numId w:val="10"/>
        </w:numPr>
        <w:spacing w:line="360" w:lineRule="auto"/>
        <w:ind w:firstLineChars="0"/>
        <w:rPr>
          <w:rFonts w:ascii="宋体"/>
          <w:sz w:val="24"/>
        </w:rPr>
      </w:pPr>
      <w:r>
        <w:rPr>
          <w:rFonts w:hint="eastAsia" w:ascii="宋体" w:hAnsi="宋体"/>
          <w:sz w:val="24"/>
        </w:rPr>
        <w:t>钻孔桩设计为</w:t>
      </w:r>
      <w:r>
        <w:rPr>
          <w:rFonts w:ascii="宋体" w:hAnsi="宋体"/>
          <w:sz w:val="24"/>
        </w:rPr>
        <w:t>C3</w:t>
      </w:r>
      <w:r>
        <w:rPr>
          <w:rFonts w:hint="eastAsia" w:ascii="宋体" w:hAnsi="宋体"/>
          <w:sz w:val="24"/>
          <w:lang w:val="en-US" w:eastAsia="zh-CN"/>
        </w:rPr>
        <w:t>0</w:t>
      </w:r>
      <w:r>
        <w:rPr>
          <w:rFonts w:hint="eastAsia" w:ascii="宋体" w:hAnsi="宋体"/>
          <w:sz w:val="24"/>
        </w:rPr>
        <w:t>水下混凝土，混凝土的可泵性、和易性必须满足要求，混凝土坍落度为</w:t>
      </w:r>
      <w:r>
        <w:rPr>
          <w:rFonts w:ascii="宋体" w:hAnsi="宋体"/>
          <w:sz w:val="24"/>
        </w:rPr>
        <w:t>18</w:t>
      </w:r>
      <w:r>
        <w:rPr>
          <w:rFonts w:hint="eastAsia" w:ascii="宋体" w:hAnsi="宋体"/>
          <w:sz w:val="24"/>
        </w:rPr>
        <w:t>～</w:t>
      </w:r>
      <w:r>
        <w:rPr>
          <w:rFonts w:ascii="宋体" w:hAnsi="宋体"/>
          <w:sz w:val="24"/>
        </w:rPr>
        <w:t>22cm</w:t>
      </w:r>
      <w:r>
        <w:rPr>
          <w:rFonts w:hint="eastAsia" w:ascii="宋体" w:hAnsi="宋体"/>
          <w:sz w:val="24"/>
        </w:rPr>
        <w:t>，初凝时间不少于</w:t>
      </w:r>
      <w:r>
        <w:rPr>
          <w:rFonts w:ascii="宋体" w:hAnsi="宋体"/>
          <w:sz w:val="24"/>
        </w:rPr>
        <w:t>10</w:t>
      </w:r>
      <w:r>
        <w:rPr>
          <w:rFonts w:hint="eastAsia" w:ascii="宋体" w:hAnsi="宋体"/>
          <w:sz w:val="24"/>
        </w:rPr>
        <w:t>小时。</w:t>
      </w:r>
    </w:p>
    <w:p>
      <w:pPr>
        <w:pStyle w:val="62"/>
        <w:numPr>
          <w:ilvl w:val="2"/>
          <w:numId w:val="10"/>
        </w:numPr>
        <w:spacing w:line="360" w:lineRule="auto"/>
        <w:ind w:firstLineChars="0"/>
        <w:rPr>
          <w:rFonts w:ascii="宋体"/>
          <w:sz w:val="24"/>
        </w:rPr>
      </w:pPr>
      <w:r>
        <w:rPr>
          <w:rFonts w:hint="eastAsia" w:ascii="宋体" w:hAnsi="宋体"/>
          <w:sz w:val="24"/>
        </w:rPr>
        <w:t>水泥：采用</w:t>
      </w:r>
      <w:r>
        <w:rPr>
          <w:rFonts w:hint="eastAsia" w:ascii="宋体" w:hAnsi="宋体"/>
          <w:sz w:val="24"/>
          <w:lang w:val="en-US" w:eastAsia="zh-CN"/>
        </w:rPr>
        <w:t>C30</w:t>
      </w:r>
      <w:r>
        <w:rPr>
          <w:rFonts w:hint="eastAsia" w:ascii="宋体" w:hAnsi="宋体"/>
          <w:sz w:val="24"/>
        </w:rPr>
        <w:t>普通硅酸盐低碱水泥；</w:t>
      </w:r>
    </w:p>
    <w:p>
      <w:pPr>
        <w:pStyle w:val="58"/>
        <w:numPr>
          <w:ilvl w:val="2"/>
          <w:numId w:val="10"/>
        </w:numPr>
        <w:spacing w:line="360" w:lineRule="auto"/>
        <w:ind w:firstLineChars="0"/>
      </w:pPr>
      <w:r>
        <w:rPr>
          <w:rFonts w:hint="eastAsia"/>
        </w:rPr>
        <w:t>掺合料：掺加的粉煤灰需符合</w:t>
      </w:r>
      <w:r>
        <w:rPr>
          <w:rFonts w:hint="eastAsia"/>
          <w:spacing w:val="0"/>
          <w:szCs w:val="24"/>
        </w:rPr>
        <w:t>规定</w:t>
      </w:r>
      <w:r>
        <w:rPr>
          <w:rFonts w:hint="eastAsia"/>
        </w:rPr>
        <w:t>。</w:t>
      </w:r>
    </w:p>
    <w:p>
      <w:pPr>
        <w:pStyle w:val="62"/>
        <w:numPr>
          <w:ilvl w:val="2"/>
          <w:numId w:val="10"/>
        </w:numPr>
        <w:spacing w:line="360" w:lineRule="auto"/>
        <w:ind w:firstLineChars="0"/>
        <w:rPr>
          <w:rFonts w:ascii="宋体"/>
          <w:sz w:val="24"/>
        </w:rPr>
      </w:pPr>
      <w:r>
        <w:rPr>
          <w:rFonts w:hint="eastAsia" w:ascii="宋体" w:hAnsi="宋体"/>
          <w:sz w:val="24"/>
        </w:rPr>
        <w:t>砂：细度模数为</w:t>
      </w:r>
      <w:r>
        <w:rPr>
          <w:rFonts w:ascii="宋体" w:hAnsi="宋体"/>
          <w:sz w:val="24"/>
        </w:rPr>
        <w:t>2.3</w:t>
      </w:r>
      <w:r>
        <w:rPr>
          <w:rFonts w:hint="eastAsia" w:ascii="宋体" w:hAnsi="宋体"/>
          <w:sz w:val="24"/>
        </w:rPr>
        <w:t>～</w:t>
      </w:r>
      <w:r>
        <w:rPr>
          <w:rFonts w:ascii="宋体" w:hAnsi="宋体"/>
          <w:sz w:val="24"/>
        </w:rPr>
        <w:t>3.0</w:t>
      </w:r>
      <w:r>
        <w:rPr>
          <w:rFonts w:hint="eastAsia" w:ascii="宋体" w:hAnsi="宋体"/>
          <w:sz w:val="24"/>
        </w:rPr>
        <w:t>的中砂；</w:t>
      </w:r>
    </w:p>
    <w:p>
      <w:pPr>
        <w:pStyle w:val="62"/>
        <w:numPr>
          <w:ilvl w:val="2"/>
          <w:numId w:val="10"/>
        </w:numPr>
        <w:spacing w:line="360" w:lineRule="auto"/>
        <w:ind w:firstLineChars="0"/>
        <w:rPr>
          <w:rFonts w:ascii="宋体"/>
          <w:sz w:val="24"/>
        </w:rPr>
      </w:pPr>
      <w:r>
        <w:rPr>
          <w:rFonts w:hint="eastAsia" w:ascii="宋体" w:hAnsi="宋体"/>
          <w:sz w:val="24"/>
        </w:rPr>
        <w:t>碎石：选用质地坚固的碎石，其压碎值小于</w:t>
      </w:r>
      <w:r>
        <w:rPr>
          <w:rFonts w:ascii="宋体" w:hAnsi="宋体"/>
          <w:sz w:val="24"/>
        </w:rPr>
        <w:t>10%</w:t>
      </w:r>
      <w:r>
        <w:rPr>
          <w:rFonts w:hint="eastAsia" w:ascii="宋体" w:hAnsi="宋体"/>
          <w:sz w:val="24"/>
        </w:rPr>
        <w:t>，吸水率小于</w:t>
      </w:r>
      <w:r>
        <w:rPr>
          <w:rFonts w:ascii="宋体" w:hAnsi="宋体"/>
          <w:sz w:val="24"/>
        </w:rPr>
        <w:t>2%</w:t>
      </w:r>
      <w:r>
        <w:rPr>
          <w:rFonts w:hint="eastAsia" w:ascii="宋体" w:hAnsi="宋体"/>
          <w:sz w:val="24"/>
        </w:rPr>
        <w:t>。采用</w:t>
      </w:r>
      <w:r>
        <w:rPr>
          <w:rFonts w:ascii="宋体" w:hAnsi="宋体"/>
          <w:sz w:val="24"/>
        </w:rPr>
        <w:t>5</w:t>
      </w:r>
      <w:r>
        <w:rPr>
          <w:rFonts w:hint="eastAsia" w:ascii="宋体" w:hAnsi="宋体"/>
          <w:sz w:val="24"/>
        </w:rPr>
        <w:t>～</w:t>
      </w:r>
      <w:r>
        <w:rPr>
          <w:rFonts w:ascii="宋体" w:hAnsi="宋体"/>
          <w:sz w:val="24"/>
        </w:rPr>
        <w:t>25mm</w:t>
      </w:r>
      <w:r>
        <w:rPr>
          <w:rFonts w:hint="eastAsia" w:ascii="宋体" w:hAnsi="宋体"/>
          <w:sz w:val="24"/>
        </w:rPr>
        <w:t>连续级配；</w:t>
      </w:r>
    </w:p>
    <w:p>
      <w:pPr>
        <w:pStyle w:val="62"/>
        <w:numPr>
          <w:ilvl w:val="2"/>
          <w:numId w:val="10"/>
        </w:numPr>
        <w:spacing w:line="360" w:lineRule="auto"/>
        <w:ind w:firstLineChars="0"/>
        <w:rPr>
          <w:rFonts w:ascii="宋体"/>
          <w:sz w:val="24"/>
        </w:rPr>
      </w:pPr>
      <w:r>
        <w:rPr>
          <w:rFonts w:hint="eastAsia" w:ascii="宋体" w:hAnsi="宋体"/>
          <w:sz w:val="24"/>
        </w:rPr>
        <w:t>水：采用地下水。</w:t>
      </w:r>
    </w:p>
    <w:p>
      <w:pPr>
        <w:pStyle w:val="62"/>
        <w:numPr>
          <w:ilvl w:val="2"/>
          <w:numId w:val="10"/>
        </w:numPr>
        <w:spacing w:line="360" w:lineRule="auto"/>
        <w:ind w:firstLineChars="0"/>
        <w:rPr>
          <w:rFonts w:ascii="宋体"/>
          <w:sz w:val="24"/>
        </w:rPr>
      </w:pPr>
      <w:r>
        <w:rPr>
          <w:rFonts w:hint="eastAsia" w:ascii="宋体" w:hAnsi="宋体"/>
          <w:sz w:val="24"/>
        </w:rPr>
        <w:t>减水剂：选用的混凝土外加剂产品技术性能指标符合《混凝土外加剂》</w:t>
      </w:r>
      <w:r>
        <w:rPr>
          <w:rFonts w:ascii="宋体" w:hAnsi="宋体"/>
          <w:sz w:val="24"/>
        </w:rPr>
        <w:t>(GB8076)</w:t>
      </w:r>
      <w:r>
        <w:rPr>
          <w:rFonts w:hint="eastAsia" w:ascii="宋体" w:hAnsi="宋体"/>
          <w:sz w:val="24"/>
        </w:rPr>
        <w:t>及相关标准。</w:t>
      </w:r>
    </w:p>
    <w:p>
      <w:pPr>
        <w:spacing w:line="360" w:lineRule="auto"/>
        <w:outlineLvl w:val="2"/>
        <w:rPr>
          <w:rFonts w:ascii="宋体"/>
          <w:sz w:val="28"/>
          <w:szCs w:val="28"/>
        </w:rPr>
      </w:pPr>
      <w:bookmarkStart w:id="75" w:name="_Toc353351896"/>
      <w:r>
        <w:rPr>
          <w:rFonts w:ascii="宋体" w:hAnsi="宋体"/>
          <w:b/>
          <w:sz w:val="28"/>
          <w:szCs w:val="28"/>
        </w:rPr>
        <w:t>7.2</w:t>
      </w:r>
      <w:r>
        <w:rPr>
          <w:rFonts w:hint="eastAsia" w:ascii="宋体" w:hAnsi="宋体"/>
          <w:b/>
          <w:sz w:val="28"/>
          <w:szCs w:val="28"/>
        </w:rPr>
        <w:t>混凝土灌注</w:t>
      </w:r>
      <w:bookmarkEnd w:id="75"/>
    </w:p>
    <w:p>
      <w:pPr>
        <w:spacing w:line="360" w:lineRule="auto"/>
        <w:ind w:firstLine="482" w:firstLineChars="200"/>
        <w:rPr>
          <w:rFonts w:ascii="宋体"/>
          <w:b/>
          <w:sz w:val="24"/>
        </w:rPr>
      </w:pPr>
      <w:r>
        <w:rPr>
          <w:rFonts w:ascii="宋体" w:hAnsi="宋体"/>
          <w:b/>
          <w:sz w:val="24"/>
        </w:rPr>
        <w:t>7.2.1</w:t>
      </w:r>
      <w:r>
        <w:rPr>
          <w:rFonts w:hint="eastAsia" w:ascii="宋体" w:hAnsi="宋体"/>
          <w:b/>
          <w:sz w:val="24"/>
        </w:rPr>
        <w:t>开钻前还应认真做好以下准备工作：</w:t>
      </w:r>
    </w:p>
    <w:p>
      <w:pPr>
        <w:spacing w:line="360" w:lineRule="auto"/>
        <w:ind w:firstLine="480" w:firstLineChars="200"/>
        <w:rPr>
          <w:rFonts w:ascii="宋体"/>
          <w:sz w:val="24"/>
        </w:rPr>
      </w:pPr>
      <w:r>
        <w:rPr>
          <w:rFonts w:ascii="宋体" w:hAnsi="宋体"/>
          <w:sz w:val="24"/>
        </w:rPr>
        <w:t>1</w:t>
      </w:r>
      <w:r>
        <w:rPr>
          <w:rFonts w:hint="eastAsia" w:ascii="宋体" w:hAnsi="宋体"/>
          <w:sz w:val="24"/>
        </w:rPr>
        <w:t>）钻孔桩开钻前应做好砼理论配合比的设计和试验工作，并将试验结果整理报请监理工程师审批。</w:t>
      </w:r>
    </w:p>
    <w:p>
      <w:pPr>
        <w:spacing w:line="360" w:lineRule="auto"/>
        <w:ind w:firstLine="480" w:firstLineChars="200"/>
        <w:rPr>
          <w:rFonts w:ascii="宋体"/>
          <w:sz w:val="24"/>
        </w:rPr>
      </w:pPr>
      <w:r>
        <w:rPr>
          <w:rFonts w:ascii="宋体" w:hAnsi="宋体"/>
          <w:sz w:val="24"/>
        </w:rPr>
        <w:t>2</w:t>
      </w:r>
      <w:r>
        <w:rPr>
          <w:rFonts w:hint="eastAsia" w:ascii="宋体" w:hAnsi="宋体"/>
          <w:sz w:val="24"/>
        </w:rPr>
        <w:t>）混凝土原材料如水泥、砂子、碎石、水、外加剂数量应能满足连续生产的需要，其质量得到工程师的认可。</w:t>
      </w:r>
    </w:p>
    <w:p>
      <w:pPr>
        <w:spacing w:line="360" w:lineRule="auto"/>
        <w:ind w:firstLine="480" w:firstLineChars="200"/>
        <w:rPr>
          <w:rFonts w:ascii="宋体"/>
          <w:sz w:val="24"/>
        </w:rPr>
      </w:pPr>
      <w:r>
        <w:rPr>
          <w:rFonts w:ascii="宋体" w:hAnsi="宋体"/>
          <w:sz w:val="24"/>
        </w:rPr>
        <w:t>3</w:t>
      </w:r>
      <w:r>
        <w:rPr>
          <w:rFonts w:hint="eastAsia" w:ascii="宋体" w:hAnsi="宋体"/>
          <w:sz w:val="24"/>
        </w:rPr>
        <w:t>）混凝土灌注所需的工具、设备等如</w:t>
      </w:r>
      <w:r>
        <w:rPr>
          <w:rFonts w:ascii="宋体" w:hAnsi="宋体"/>
          <w:sz w:val="24"/>
        </w:rPr>
        <w:t>3.0m</w:t>
      </w:r>
      <w:r>
        <w:rPr>
          <w:rFonts w:ascii="宋体" w:hAnsi="宋体"/>
          <w:sz w:val="24"/>
          <w:vertAlign w:val="superscript"/>
        </w:rPr>
        <w:t>3</w:t>
      </w:r>
      <w:r>
        <w:rPr>
          <w:rFonts w:hint="eastAsia" w:ascii="宋体" w:hAnsi="宋体"/>
          <w:sz w:val="24"/>
        </w:rPr>
        <w:t>漏斗、φ</w:t>
      </w:r>
      <w:r>
        <w:rPr>
          <w:rFonts w:ascii="宋体" w:hAnsi="宋体"/>
          <w:sz w:val="24"/>
        </w:rPr>
        <w:t>300mm</w:t>
      </w:r>
      <w:r>
        <w:rPr>
          <w:rFonts w:hint="eastAsia" w:ascii="宋体" w:hAnsi="宋体"/>
          <w:sz w:val="24"/>
        </w:rPr>
        <w:t>的螺旋丝口垂直提升水下砼填充导管、导管夹箍、填充水下砼隔水栓塞、测量砼面标高的测鉈、测绳以及各种技术签证表格应准备妥当。</w:t>
      </w:r>
    </w:p>
    <w:p>
      <w:pPr>
        <w:spacing w:line="360" w:lineRule="auto"/>
        <w:ind w:firstLine="480" w:firstLineChars="200"/>
        <w:rPr>
          <w:rFonts w:ascii="宋体"/>
          <w:sz w:val="24"/>
        </w:rPr>
      </w:pPr>
      <w:r>
        <w:rPr>
          <w:rFonts w:ascii="宋体" w:hAnsi="宋体"/>
          <w:sz w:val="24"/>
        </w:rPr>
        <w:t>4</w:t>
      </w:r>
      <w:r>
        <w:rPr>
          <w:rFonts w:hint="eastAsia" w:ascii="宋体" w:hAnsi="宋体"/>
          <w:sz w:val="24"/>
        </w:rPr>
        <w:t>）备用发电机组应试运转，状况良好，能在停电的情况下迅速投入使用。设备维修人员和配件应准备妥当。所有备用设备应保证原有设备在遇到意外事故时，混凝土生产、运输、灌注能继续。</w:t>
      </w:r>
    </w:p>
    <w:p>
      <w:pPr>
        <w:spacing w:line="360" w:lineRule="auto"/>
        <w:ind w:firstLine="480" w:firstLineChars="200"/>
        <w:rPr>
          <w:rFonts w:ascii="宋体"/>
          <w:sz w:val="24"/>
        </w:rPr>
      </w:pPr>
      <w:r>
        <w:rPr>
          <w:rFonts w:ascii="宋体" w:hAnsi="宋体"/>
          <w:sz w:val="24"/>
        </w:rPr>
        <w:t>5</w:t>
      </w:r>
      <w:r>
        <w:rPr>
          <w:rFonts w:hint="eastAsia" w:ascii="宋体" w:hAnsi="宋体"/>
          <w:sz w:val="24"/>
        </w:rPr>
        <w:t>）应有措施保证暴雨时混凝土能连续灌注，质量不受影响。</w:t>
      </w:r>
    </w:p>
    <w:p>
      <w:pPr>
        <w:spacing w:line="360" w:lineRule="auto"/>
        <w:ind w:firstLine="482" w:firstLineChars="200"/>
        <w:rPr>
          <w:rFonts w:ascii="宋体"/>
          <w:b/>
          <w:sz w:val="24"/>
        </w:rPr>
      </w:pPr>
      <w:r>
        <w:rPr>
          <w:rFonts w:ascii="宋体" w:hAnsi="宋体"/>
          <w:b/>
          <w:sz w:val="24"/>
        </w:rPr>
        <w:t>7.2.2</w:t>
      </w:r>
      <w:r>
        <w:rPr>
          <w:rFonts w:hint="eastAsia" w:ascii="宋体" w:hAnsi="宋体"/>
          <w:b/>
          <w:sz w:val="24"/>
        </w:rPr>
        <w:t>混凝土的拌合</w:t>
      </w:r>
    </w:p>
    <w:p>
      <w:pPr>
        <w:spacing w:line="360" w:lineRule="auto"/>
        <w:ind w:firstLine="480" w:firstLineChars="200"/>
        <w:rPr>
          <w:rFonts w:ascii="宋体"/>
          <w:sz w:val="24"/>
        </w:rPr>
      </w:pPr>
      <w:r>
        <w:rPr>
          <w:rFonts w:ascii="宋体" w:hAnsi="宋体"/>
          <w:sz w:val="24"/>
        </w:rPr>
        <w:t>1</w:t>
      </w:r>
      <w:r>
        <w:rPr>
          <w:rFonts w:hint="eastAsia" w:ascii="宋体" w:hAnsi="宋体"/>
          <w:sz w:val="24"/>
        </w:rPr>
        <w:t>）开盘前试验人员必须测定砂、石含水率，将理论配合比换算成施工配合比。</w:t>
      </w:r>
    </w:p>
    <w:p>
      <w:pPr>
        <w:spacing w:line="360" w:lineRule="auto"/>
        <w:ind w:firstLine="480" w:firstLineChars="200"/>
        <w:rPr>
          <w:rFonts w:ascii="宋体"/>
          <w:sz w:val="24"/>
        </w:rPr>
      </w:pPr>
      <w:r>
        <w:rPr>
          <w:rFonts w:ascii="宋体" w:hAnsi="宋体"/>
          <w:sz w:val="24"/>
        </w:rPr>
        <w:t>2</w:t>
      </w:r>
      <w:r>
        <w:rPr>
          <w:rFonts w:hint="eastAsia" w:ascii="宋体" w:hAnsi="宋体"/>
          <w:sz w:val="24"/>
        </w:rPr>
        <w:t>）混凝土配料和计量：混凝土配料必须按试验室通知单进行，并应有试验人员值班，配料应采用自动计量系统计量。</w:t>
      </w:r>
    </w:p>
    <w:p>
      <w:pPr>
        <w:spacing w:line="360" w:lineRule="auto"/>
        <w:ind w:firstLine="480" w:firstLineChars="200"/>
        <w:rPr>
          <w:rFonts w:ascii="宋体"/>
          <w:sz w:val="24"/>
        </w:rPr>
      </w:pPr>
      <w:r>
        <w:rPr>
          <w:rFonts w:ascii="宋体" w:hAnsi="宋体"/>
          <w:sz w:val="24"/>
        </w:rPr>
        <w:t>3</w:t>
      </w:r>
      <w:r>
        <w:rPr>
          <w:rFonts w:hint="eastAsia" w:ascii="宋体" w:hAnsi="宋体"/>
          <w:sz w:val="24"/>
        </w:rPr>
        <w:t>）开盘前要检查砂、石的质量情况，核实使用原材料与配合比通知单是否相符，数量是否足够灌注一根桩并有</w:t>
      </w:r>
      <w:r>
        <w:rPr>
          <w:rFonts w:ascii="宋体" w:hAnsi="宋体"/>
          <w:sz w:val="24"/>
        </w:rPr>
        <w:t>10%</w:t>
      </w:r>
      <w:r>
        <w:rPr>
          <w:rFonts w:hint="eastAsia" w:ascii="宋体" w:hAnsi="宋体"/>
          <w:sz w:val="24"/>
        </w:rPr>
        <w:t>的富余量。</w:t>
      </w:r>
    </w:p>
    <w:p>
      <w:pPr>
        <w:spacing w:line="360" w:lineRule="auto"/>
        <w:ind w:firstLine="480" w:firstLineChars="200"/>
        <w:rPr>
          <w:rFonts w:ascii="宋体"/>
          <w:sz w:val="24"/>
        </w:rPr>
      </w:pPr>
      <w:r>
        <w:rPr>
          <w:rFonts w:ascii="宋体" w:hAnsi="宋体"/>
          <w:sz w:val="24"/>
        </w:rPr>
        <w:t>4</w:t>
      </w:r>
      <w:r>
        <w:rPr>
          <w:rFonts w:hint="eastAsia" w:ascii="宋体" w:hAnsi="宋体"/>
          <w:sz w:val="24"/>
        </w:rPr>
        <w:t>）开盘前要校核搅拌站计量设备及其他计量器具，并由试验人员复核。</w:t>
      </w:r>
    </w:p>
    <w:p>
      <w:pPr>
        <w:spacing w:line="360" w:lineRule="auto"/>
        <w:ind w:firstLine="480" w:firstLineChars="200"/>
        <w:rPr>
          <w:rFonts w:ascii="宋体"/>
          <w:sz w:val="24"/>
        </w:rPr>
      </w:pPr>
      <w:r>
        <w:rPr>
          <w:rFonts w:ascii="宋体" w:hAnsi="宋体"/>
          <w:sz w:val="24"/>
        </w:rPr>
        <w:t>5</w:t>
      </w:r>
      <w:r>
        <w:rPr>
          <w:rFonts w:hint="eastAsia" w:ascii="宋体" w:hAnsi="宋体"/>
          <w:sz w:val="24"/>
        </w:rPr>
        <w:t>）开盘前外加剂的浓度应进行确认，外加剂的掺量应精确。</w:t>
      </w:r>
    </w:p>
    <w:p>
      <w:pPr>
        <w:spacing w:line="360" w:lineRule="auto"/>
        <w:ind w:firstLine="480" w:firstLineChars="200"/>
        <w:rPr>
          <w:rFonts w:ascii="宋体"/>
          <w:sz w:val="24"/>
        </w:rPr>
      </w:pPr>
      <w:r>
        <w:rPr>
          <w:rFonts w:ascii="宋体" w:hAnsi="宋体"/>
          <w:sz w:val="24"/>
        </w:rPr>
        <w:t>6</w:t>
      </w:r>
      <w:r>
        <w:rPr>
          <w:rFonts w:hint="eastAsia" w:ascii="宋体" w:hAnsi="宋体"/>
          <w:sz w:val="24"/>
        </w:rPr>
        <w:t>）开盘前，应检查拌合机、混凝土输送泵及管道、灌注等各设备的运转情况。</w:t>
      </w:r>
      <w:r>
        <w:rPr>
          <w:rFonts w:ascii="宋体" w:hAnsi="宋体"/>
          <w:sz w:val="24"/>
        </w:rPr>
        <w:t xml:space="preserve"> </w:t>
      </w:r>
    </w:p>
    <w:p>
      <w:pPr>
        <w:spacing w:line="360" w:lineRule="auto"/>
        <w:ind w:firstLine="480" w:firstLineChars="200"/>
        <w:rPr>
          <w:rFonts w:ascii="宋体"/>
          <w:sz w:val="24"/>
        </w:rPr>
      </w:pPr>
      <w:r>
        <w:rPr>
          <w:rFonts w:ascii="宋体" w:hAnsi="宋体"/>
          <w:sz w:val="24"/>
        </w:rPr>
        <w:t>7</w:t>
      </w:r>
      <w:r>
        <w:rPr>
          <w:rFonts w:hint="eastAsia" w:ascii="宋体" w:hAnsi="宋体"/>
          <w:sz w:val="24"/>
        </w:rPr>
        <w:t>）混凝土拌合采用强迫式拌合机，搅拌时间不少于</w:t>
      </w:r>
      <w:r>
        <w:rPr>
          <w:rFonts w:ascii="宋体" w:hAnsi="宋体"/>
          <w:sz w:val="24"/>
        </w:rPr>
        <w:t>2min</w:t>
      </w:r>
      <w:r>
        <w:rPr>
          <w:rFonts w:hint="eastAsia" w:ascii="宋体" w:hAnsi="宋体"/>
          <w:sz w:val="24"/>
        </w:rPr>
        <w:t>。</w:t>
      </w:r>
    </w:p>
    <w:p>
      <w:pPr>
        <w:spacing w:line="360" w:lineRule="auto"/>
        <w:ind w:firstLine="480" w:firstLineChars="200"/>
        <w:rPr>
          <w:rFonts w:ascii="宋体"/>
          <w:sz w:val="24"/>
        </w:rPr>
      </w:pPr>
      <w:r>
        <w:rPr>
          <w:rFonts w:ascii="宋体" w:hAnsi="宋体"/>
          <w:sz w:val="24"/>
        </w:rPr>
        <w:t>8</w:t>
      </w:r>
      <w:r>
        <w:rPr>
          <w:rFonts w:hint="eastAsia" w:ascii="宋体" w:hAnsi="宋体"/>
          <w:sz w:val="24"/>
        </w:rPr>
        <w:t>）混凝土自搅拌加水至入孔时间不得超过</w:t>
      </w:r>
      <w:r>
        <w:rPr>
          <w:rFonts w:ascii="宋体" w:hAnsi="宋体"/>
          <w:sz w:val="24"/>
        </w:rPr>
        <w:t>60min</w:t>
      </w:r>
      <w:r>
        <w:rPr>
          <w:rFonts w:hint="eastAsia" w:ascii="宋体" w:hAnsi="宋体"/>
          <w:sz w:val="24"/>
        </w:rPr>
        <w:t>。</w:t>
      </w:r>
    </w:p>
    <w:p>
      <w:pPr>
        <w:spacing w:line="360" w:lineRule="auto"/>
        <w:ind w:firstLine="482" w:firstLineChars="200"/>
        <w:rPr>
          <w:rFonts w:ascii="宋体"/>
          <w:b/>
          <w:sz w:val="24"/>
        </w:rPr>
      </w:pPr>
      <w:r>
        <w:rPr>
          <w:rFonts w:ascii="宋体" w:hAnsi="宋体"/>
          <w:b/>
          <w:sz w:val="24"/>
        </w:rPr>
        <w:t>7.2.3</w:t>
      </w:r>
      <w:r>
        <w:rPr>
          <w:rFonts w:hint="eastAsia" w:ascii="宋体" w:hAnsi="宋体"/>
          <w:b/>
          <w:sz w:val="24"/>
        </w:rPr>
        <w:t>混凝土的运输</w:t>
      </w:r>
    </w:p>
    <w:p>
      <w:pPr>
        <w:spacing w:line="360" w:lineRule="auto"/>
        <w:ind w:firstLine="480" w:firstLineChars="200"/>
        <w:rPr>
          <w:rFonts w:ascii="宋体"/>
          <w:sz w:val="24"/>
        </w:rPr>
      </w:pPr>
      <w:r>
        <w:rPr>
          <w:rFonts w:hint="eastAsia" w:ascii="宋体" w:hAnsi="宋体"/>
          <w:sz w:val="24"/>
        </w:rPr>
        <w:t>桩身混凝土由岸上混凝土工厂拌制，通过混凝土搅拌车运送至桩位后直接放料输送入储料总槽。</w:t>
      </w:r>
    </w:p>
    <w:p>
      <w:pPr>
        <w:spacing w:line="360" w:lineRule="auto"/>
        <w:ind w:firstLine="482" w:firstLineChars="200"/>
        <w:rPr>
          <w:rFonts w:ascii="宋体"/>
          <w:b/>
          <w:sz w:val="24"/>
        </w:rPr>
      </w:pPr>
      <w:r>
        <w:rPr>
          <w:rFonts w:ascii="宋体" w:hAnsi="宋体"/>
          <w:b/>
          <w:sz w:val="24"/>
        </w:rPr>
        <w:t>7.2.4</w:t>
      </w:r>
      <w:r>
        <w:rPr>
          <w:rFonts w:hint="eastAsia" w:ascii="宋体" w:hAnsi="宋体"/>
          <w:b/>
          <w:sz w:val="24"/>
        </w:rPr>
        <w:t>混凝土的浇注</w:t>
      </w:r>
    </w:p>
    <w:p>
      <w:pPr>
        <w:spacing w:line="360" w:lineRule="auto"/>
        <w:ind w:firstLine="480" w:firstLineChars="200"/>
        <w:rPr>
          <w:rFonts w:ascii="宋体"/>
          <w:sz w:val="24"/>
        </w:rPr>
      </w:pPr>
      <w:r>
        <w:rPr>
          <w:rFonts w:ascii="宋体" w:hAnsi="宋体"/>
          <w:sz w:val="24"/>
        </w:rPr>
        <w:t>1</w:t>
      </w:r>
      <w:r>
        <w:rPr>
          <w:rFonts w:hint="eastAsia" w:ascii="宋体" w:hAnsi="宋体"/>
          <w:sz w:val="24"/>
        </w:rPr>
        <w:t>）开始灌注首批混凝土时，首批混凝土储量控制在</w:t>
      </w:r>
      <w:r>
        <w:rPr>
          <w:rFonts w:ascii="宋体" w:hAnsi="宋体"/>
          <w:sz w:val="24"/>
        </w:rPr>
        <w:t>10m</w:t>
      </w:r>
      <w:r>
        <w:rPr>
          <w:rFonts w:ascii="宋体" w:hAnsi="宋体"/>
          <w:sz w:val="24"/>
          <w:vertAlign w:val="superscript"/>
        </w:rPr>
        <w:t>3</w:t>
      </w:r>
      <w:r>
        <w:rPr>
          <w:rFonts w:hint="eastAsia" w:ascii="宋体" w:hAnsi="宋体"/>
          <w:sz w:val="24"/>
        </w:rPr>
        <w:t>左右。</w:t>
      </w:r>
    </w:p>
    <w:p>
      <w:pPr>
        <w:spacing w:line="360" w:lineRule="auto"/>
        <w:ind w:firstLine="480" w:firstLineChars="200"/>
        <w:rPr>
          <w:rFonts w:ascii="宋体"/>
          <w:sz w:val="24"/>
        </w:rPr>
      </w:pPr>
      <w:r>
        <w:rPr>
          <w:rFonts w:ascii="宋体" w:hAnsi="宋体"/>
          <w:sz w:val="24"/>
        </w:rPr>
        <w:t>2</w:t>
      </w:r>
      <w:r>
        <w:rPr>
          <w:rFonts w:hint="eastAsia" w:ascii="宋体" w:hAnsi="宋体"/>
          <w:sz w:val="24"/>
        </w:rPr>
        <w:t>）导管安装</w:t>
      </w:r>
    </w:p>
    <w:p>
      <w:pPr>
        <w:spacing w:line="360" w:lineRule="auto"/>
        <w:ind w:firstLine="480" w:firstLineChars="200"/>
        <w:rPr>
          <w:rFonts w:ascii="宋体"/>
          <w:sz w:val="24"/>
        </w:rPr>
      </w:pPr>
      <w:r>
        <w:rPr>
          <w:rFonts w:hint="eastAsia" w:ascii="宋体" w:hAnsi="宋体"/>
          <w:sz w:val="24"/>
        </w:rPr>
        <w:t>①</w:t>
      </w:r>
      <w:r>
        <w:rPr>
          <w:rFonts w:ascii="宋体" w:hAnsi="宋体"/>
          <w:sz w:val="24"/>
        </w:rPr>
        <w:t xml:space="preserve"> </w:t>
      </w:r>
      <w:r>
        <w:rPr>
          <w:rFonts w:hint="eastAsia" w:ascii="宋体" w:hAnsi="宋体"/>
          <w:sz w:val="24"/>
        </w:rPr>
        <w:t>混凝土采用刚性导管法灌注，导管接头为丝口式，壁厚δ</w:t>
      </w:r>
      <w:r>
        <w:rPr>
          <w:rFonts w:ascii="宋体" w:hAnsi="宋体"/>
          <w:sz w:val="24"/>
        </w:rPr>
        <w:t>=8</w:t>
      </w:r>
      <w:r>
        <w:rPr>
          <w:rFonts w:hint="eastAsia" w:ascii="宋体" w:hAnsi="宋体"/>
          <w:sz w:val="24"/>
        </w:rPr>
        <w:t>～</w:t>
      </w:r>
      <w:r>
        <w:rPr>
          <w:rFonts w:ascii="宋体" w:hAnsi="宋体"/>
          <w:sz w:val="24"/>
        </w:rPr>
        <w:t>10mm</w:t>
      </w:r>
      <w:r>
        <w:rPr>
          <w:rFonts w:hint="eastAsia" w:ascii="宋体" w:hAnsi="宋体"/>
          <w:sz w:val="24"/>
        </w:rPr>
        <w:t>，直径φ</w:t>
      </w:r>
      <w:r>
        <w:rPr>
          <w:rFonts w:hint="eastAsia" w:ascii="宋体" w:hAnsi="宋体"/>
          <w:sz w:val="24"/>
          <w:vertAlign w:val="subscript"/>
        </w:rPr>
        <w:t>内</w:t>
      </w:r>
      <w:r>
        <w:rPr>
          <w:rFonts w:ascii="宋体" w:hAnsi="宋体"/>
          <w:sz w:val="24"/>
        </w:rPr>
        <w:t>=300mm</w:t>
      </w:r>
      <w:r>
        <w:rPr>
          <w:rFonts w:hint="eastAsia" w:ascii="宋体" w:hAnsi="宋体"/>
          <w:sz w:val="24"/>
        </w:rPr>
        <w:t>，容许承受的最小压力为</w:t>
      </w:r>
      <w:r>
        <w:rPr>
          <w:rFonts w:ascii="宋体" w:hAnsi="宋体"/>
          <w:sz w:val="24"/>
        </w:rPr>
        <w:t>2.0Mpa</w:t>
      </w:r>
      <w:r>
        <w:rPr>
          <w:rFonts w:hint="eastAsia" w:ascii="宋体" w:hAnsi="宋体"/>
          <w:sz w:val="24"/>
        </w:rPr>
        <w:t>。</w:t>
      </w:r>
    </w:p>
    <w:p>
      <w:pPr>
        <w:spacing w:line="360" w:lineRule="auto"/>
        <w:ind w:firstLine="480" w:firstLineChars="200"/>
        <w:rPr>
          <w:rFonts w:ascii="宋体"/>
          <w:sz w:val="24"/>
        </w:rPr>
      </w:pPr>
      <w:r>
        <w:rPr>
          <w:rFonts w:hint="eastAsia" w:ascii="宋体" w:hAnsi="宋体"/>
          <w:sz w:val="24"/>
        </w:rPr>
        <w:t>②</w:t>
      </w:r>
      <w:r>
        <w:rPr>
          <w:rFonts w:ascii="宋体" w:hAnsi="宋体"/>
          <w:sz w:val="24"/>
        </w:rPr>
        <w:t xml:space="preserve"> </w:t>
      </w:r>
      <w:r>
        <w:rPr>
          <w:rFonts w:hint="eastAsia" w:ascii="宋体" w:hAnsi="宋体"/>
          <w:sz w:val="24"/>
        </w:rPr>
        <w:t>每根桩砼灌注前，对导管均应逐段进行水密承压和接头抗拉试验。试验压力为静水压力的</w:t>
      </w:r>
      <w:r>
        <w:rPr>
          <w:rFonts w:ascii="宋体" w:hAnsi="宋体"/>
          <w:sz w:val="24"/>
        </w:rPr>
        <w:t>1.5</w:t>
      </w:r>
      <w:r>
        <w:rPr>
          <w:rFonts w:hint="eastAsia" w:ascii="宋体" w:hAnsi="宋体"/>
          <w:sz w:val="24"/>
        </w:rPr>
        <w:t>倍，在无渗漏的条件下持荷时间不少于</w:t>
      </w:r>
      <w:r>
        <w:rPr>
          <w:rFonts w:ascii="宋体" w:hAnsi="宋体"/>
          <w:sz w:val="24"/>
        </w:rPr>
        <w:t>5</w:t>
      </w:r>
      <w:r>
        <w:rPr>
          <w:rFonts w:hint="eastAsia" w:ascii="宋体" w:hAnsi="宋体"/>
          <w:sz w:val="24"/>
        </w:rPr>
        <w:t>分钟。</w:t>
      </w:r>
    </w:p>
    <w:p>
      <w:pPr>
        <w:spacing w:line="360" w:lineRule="auto"/>
        <w:ind w:firstLine="480" w:firstLineChars="200"/>
        <w:rPr>
          <w:rFonts w:ascii="宋体"/>
          <w:sz w:val="24"/>
        </w:rPr>
      </w:pPr>
      <w:r>
        <w:rPr>
          <w:rFonts w:hint="eastAsia" w:ascii="宋体" w:hAnsi="宋体"/>
          <w:sz w:val="24"/>
        </w:rPr>
        <w:t>③</w:t>
      </w:r>
      <w:r>
        <w:rPr>
          <w:rFonts w:ascii="宋体" w:hAnsi="宋体"/>
          <w:sz w:val="24"/>
        </w:rPr>
        <w:t xml:space="preserve"> </w:t>
      </w:r>
      <w:r>
        <w:rPr>
          <w:rFonts w:hint="eastAsia" w:ascii="宋体" w:hAnsi="宋体"/>
          <w:sz w:val="24"/>
        </w:rPr>
        <w:t>砼填充导管安装前应在导管上用油漆划上编号，以便砼灌注时与测量深度相互复核。导管插入桩孔前应认真复查导管的实际长度与所划刻度是否相符，确认无误后插入桩孔并进行接长。导管安装完毕，底口离桩底约</w:t>
      </w:r>
      <w:r>
        <w:rPr>
          <w:rFonts w:ascii="宋体" w:hAnsi="宋体"/>
          <w:sz w:val="24"/>
        </w:rPr>
        <w:t>30cm</w:t>
      </w:r>
      <w:r>
        <w:rPr>
          <w:rFonts w:hint="eastAsia" w:ascii="宋体" w:hAnsi="宋体"/>
          <w:sz w:val="24"/>
        </w:rPr>
        <w:t>。</w:t>
      </w:r>
    </w:p>
    <w:p>
      <w:pPr>
        <w:spacing w:line="360" w:lineRule="auto"/>
        <w:ind w:firstLine="480" w:firstLineChars="200"/>
        <w:rPr>
          <w:rFonts w:ascii="宋体"/>
          <w:sz w:val="24"/>
        </w:rPr>
      </w:pPr>
      <w:r>
        <w:rPr>
          <w:rFonts w:ascii="宋体" w:hAnsi="宋体"/>
          <w:sz w:val="24"/>
        </w:rPr>
        <w:t>3</w:t>
      </w:r>
      <w:r>
        <w:rPr>
          <w:rFonts w:hint="eastAsia" w:ascii="宋体" w:hAnsi="宋体"/>
          <w:sz w:val="24"/>
        </w:rPr>
        <w:t>）水下混凝土灌注</w:t>
      </w:r>
    </w:p>
    <w:p>
      <w:pPr>
        <w:spacing w:line="360" w:lineRule="auto"/>
        <w:ind w:firstLine="480" w:firstLineChars="200"/>
        <w:rPr>
          <w:rFonts w:ascii="宋体"/>
          <w:sz w:val="24"/>
        </w:rPr>
      </w:pPr>
      <w:r>
        <w:rPr>
          <w:rFonts w:hint="eastAsia" w:ascii="宋体" w:hAnsi="宋体"/>
          <w:sz w:val="24"/>
        </w:rPr>
        <w:t>①</w:t>
      </w:r>
      <w:r>
        <w:rPr>
          <w:rFonts w:ascii="宋体" w:hAnsi="宋体"/>
          <w:sz w:val="24"/>
        </w:rPr>
        <w:t xml:space="preserve"> </w:t>
      </w:r>
      <w:r>
        <w:rPr>
          <w:rFonts w:hint="eastAsia" w:ascii="宋体" w:hAnsi="宋体"/>
          <w:sz w:val="24"/>
        </w:rPr>
        <w:t>首批混凝土灌注方量</w:t>
      </w:r>
    </w:p>
    <w:p>
      <w:pPr>
        <w:spacing w:line="360" w:lineRule="auto"/>
        <w:ind w:firstLine="480" w:firstLineChars="200"/>
        <w:rPr>
          <w:rFonts w:ascii="宋体"/>
          <w:sz w:val="24"/>
        </w:rPr>
      </w:pPr>
      <w:r>
        <w:rPr>
          <w:rFonts w:hint="eastAsia" w:ascii="宋体" w:hAnsi="宋体"/>
          <w:sz w:val="24"/>
        </w:rPr>
        <w:t>首批混凝土的方量应能满足导管初次埋置深度不小于</w:t>
      </w:r>
      <w:r>
        <w:rPr>
          <w:rFonts w:ascii="宋体" w:hAnsi="宋体"/>
          <w:sz w:val="24"/>
        </w:rPr>
        <w:t>2.0m</w:t>
      </w:r>
      <w:r>
        <w:rPr>
          <w:rFonts w:hint="eastAsia" w:ascii="宋体" w:hAnsi="宋体"/>
          <w:sz w:val="24"/>
        </w:rPr>
        <w:t>和填充导管底部间隙的需要，经计算首批混凝土的数量应大于</w:t>
      </w:r>
      <w:r>
        <w:rPr>
          <w:rFonts w:ascii="宋体" w:hAnsi="宋体"/>
          <w:sz w:val="24"/>
        </w:rPr>
        <w:t>10m</w:t>
      </w:r>
      <w:r>
        <w:rPr>
          <w:rFonts w:ascii="宋体" w:hAnsi="宋体"/>
          <w:sz w:val="24"/>
          <w:vertAlign w:val="superscript"/>
        </w:rPr>
        <w:t>3</w:t>
      </w:r>
      <w:r>
        <w:rPr>
          <w:rFonts w:hint="eastAsia" w:ascii="宋体" w:hAnsi="宋体"/>
          <w:sz w:val="24"/>
        </w:rPr>
        <w:t>。</w:t>
      </w:r>
      <w:r>
        <w:rPr>
          <w:rFonts w:ascii="宋体" w:hAnsi="宋体"/>
          <w:sz w:val="24"/>
        </w:rPr>
        <w:t xml:space="preserve"> </w:t>
      </w:r>
    </w:p>
    <w:p>
      <w:pPr>
        <w:tabs>
          <w:tab w:val="left" w:pos="720"/>
        </w:tabs>
        <w:spacing w:line="360" w:lineRule="auto"/>
        <w:ind w:firstLine="480" w:firstLineChars="200"/>
        <w:rPr>
          <w:rFonts w:ascii="宋体"/>
          <w:sz w:val="24"/>
        </w:rPr>
      </w:pPr>
      <w:r>
        <w:rPr>
          <w:rFonts w:hint="eastAsia" w:ascii="宋体" w:hAnsi="宋体"/>
          <w:sz w:val="24"/>
        </w:rPr>
        <w:t>②</w:t>
      </w:r>
      <w:r>
        <w:rPr>
          <w:rFonts w:ascii="宋体" w:hAnsi="宋体"/>
          <w:sz w:val="24"/>
        </w:rPr>
        <w:t xml:space="preserve"> </w:t>
      </w:r>
      <w:r>
        <w:rPr>
          <w:rFonts w:hint="eastAsia" w:ascii="宋体" w:hAnsi="宋体"/>
          <w:sz w:val="24"/>
        </w:rPr>
        <w:t>钢筋笼安装完毕，应及时检查孔底沉淀厚度，沉淀厚度满足要求后方可进行混凝土的浇注施工，否则应进行二次清孔。因钢筋笼、砼填充导管安装过程需经历较长时间，致使钻孔桩孔底沉淀增厚，故砼灌注前需对钻孔桩进行二次清孔。清孔时导管需在钢筋笼内来回移动，时间不少于</w:t>
      </w:r>
      <w:r>
        <w:rPr>
          <w:rFonts w:ascii="宋体" w:hAnsi="宋体"/>
          <w:sz w:val="24"/>
        </w:rPr>
        <w:t>30</w:t>
      </w:r>
      <w:r>
        <w:rPr>
          <w:rFonts w:hint="eastAsia" w:ascii="宋体" w:hAnsi="宋体"/>
          <w:sz w:val="24"/>
        </w:rPr>
        <w:t>分钟。清孔完毕后，安装</w:t>
      </w:r>
      <w:r>
        <w:rPr>
          <w:rFonts w:ascii="宋体" w:hAnsi="宋体"/>
          <w:sz w:val="24"/>
        </w:rPr>
        <w:t>3.0m</w:t>
      </w:r>
      <w:r>
        <w:rPr>
          <w:rFonts w:ascii="宋体" w:hAnsi="宋体"/>
          <w:sz w:val="24"/>
          <w:vertAlign w:val="superscript"/>
        </w:rPr>
        <w:t>3</w:t>
      </w:r>
      <w:r>
        <w:rPr>
          <w:rFonts w:hint="eastAsia" w:ascii="宋体" w:hAnsi="宋体"/>
          <w:sz w:val="24"/>
        </w:rPr>
        <w:t>砼漏斗即可进行水下砼灌注工作。</w:t>
      </w:r>
    </w:p>
    <w:p>
      <w:pPr>
        <w:spacing w:line="360" w:lineRule="auto"/>
        <w:ind w:firstLine="480" w:firstLineChars="200"/>
        <w:rPr>
          <w:rFonts w:ascii="宋体"/>
          <w:sz w:val="24"/>
        </w:rPr>
      </w:pPr>
      <w:r>
        <w:rPr>
          <w:rFonts w:hint="eastAsia" w:ascii="宋体" w:hAnsi="宋体"/>
          <w:sz w:val="24"/>
        </w:rPr>
        <w:t>③灌注砼前需在填充导管内安设泡沫隔水栓塞，待</w:t>
      </w:r>
      <w:r>
        <w:rPr>
          <w:rFonts w:ascii="宋体" w:hAnsi="宋体"/>
          <w:sz w:val="24"/>
        </w:rPr>
        <w:t>3.0m</w:t>
      </w:r>
      <w:r>
        <w:rPr>
          <w:rFonts w:ascii="宋体" w:hAnsi="宋体"/>
          <w:sz w:val="24"/>
          <w:vertAlign w:val="superscript"/>
        </w:rPr>
        <w:t>3</w:t>
      </w:r>
      <w:r>
        <w:rPr>
          <w:rFonts w:hint="eastAsia" w:ascii="宋体" w:hAnsi="宋体"/>
          <w:sz w:val="24"/>
        </w:rPr>
        <w:t>漏斗储满砼后，开始“拔球”灌注水下砼，拔球后混凝土要连续灌注，不得停顿，保证整桩在混凝土初凝前灌注完成。</w:t>
      </w:r>
    </w:p>
    <w:p>
      <w:pPr>
        <w:spacing w:line="360" w:lineRule="auto"/>
        <w:ind w:firstLine="480" w:firstLineChars="200"/>
        <w:rPr>
          <w:rFonts w:ascii="宋体"/>
          <w:sz w:val="24"/>
        </w:rPr>
      </w:pPr>
      <w:r>
        <w:rPr>
          <w:rFonts w:hint="eastAsia" w:ascii="宋体" w:hAnsi="宋体"/>
          <w:sz w:val="24"/>
        </w:rPr>
        <w:t>④</w:t>
      </w:r>
      <w:r>
        <w:rPr>
          <w:rFonts w:ascii="宋体" w:hAnsi="宋体"/>
          <w:sz w:val="24"/>
        </w:rPr>
        <w:t xml:space="preserve"> </w:t>
      </w:r>
      <w:r>
        <w:rPr>
          <w:rFonts w:hint="eastAsia" w:ascii="宋体" w:hAnsi="宋体"/>
          <w:sz w:val="24"/>
        </w:rPr>
        <w:t>砼灌注过程中要有专人测量砼面标高，正确计算导管在砼内的埋置深度，导管埋置深度适当，正确指挥导管的提升和拆除，保证埋置深度在规范允许范围内。</w:t>
      </w:r>
    </w:p>
    <w:p>
      <w:pPr>
        <w:spacing w:line="360" w:lineRule="auto"/>
        <w:ind w:firstLine="480" w:firstLineChars="200"/>
        <w:rPr>
          <w:rFonts w:ascii="宋体"/>
          <w:sz w:val="24"/>
        </w:rPr>
      </w:pPr>
      <w:r>
        <w:rPr>
          <w:rFonts w:hint="eastAsia" w:ascii="宋体" w:hAnsi="宋体"/>
          <w:sz w:val="24"/>
        </w:rPr>
        <w:t>⑤</w:t>
      </w:r>
      <w:r>
        <w:rPr>
          <w:rFonts w:ascii="宋体" w:hAnsi="宋体"/>
          <w:sz w:val="24"/>
        </w:rPr>
        <w:t xml:space="preserve"> </w:t>
      </w:r>
      <w:r>
        <w:rPr>
          <w:rFonts w:hint="eastAsia" w:ascii="宋体" w:hAnsi="宋体"/>
          <w:sz w:val="24"/>
        </w:rPr>
        <w:t>灌注过程中应记录混凝土灌注量及相对应的混凝土面标高，用以分析扩孔率，发现异常情况应及时报告工程师并进行处理。</w:t>
      </w:r>
    </w:p>
    <w:p>
      <w:pPr>
        <w:spacing w:line="360" w:lineRule="auto"/>
        <w:ind w:firstLine="480" w:firstLineChars="200"/>
        <w:rPr>
          <w:rFonts w:ascii="宋体"/>
          <w:sz w:val="24"/>
        </w:rPr>
      </w:pPr>
      <w:r>
        <w:rPr>
          <w:rFonts w:hint="eastAsia" w:ascii="宋体" w:hAnsi="宋体"/>
          <w:sz w:val="24"/>
        </w:rPr>
        <w:t>⑥</w:t>
      </w:r>
      <w:r>
        <w:rPr>
          <w:rFonts w:ascii="宋体" w:hAnsi="宋体"/>
          <w:sz w:val="24"/>
        </w:rPr>
        <w:t xml:space="preserve"> </w:t>
      </w:r>
      <w:r>
        <w:rPr>
          <w:rFonts w:hint="eastAsia" w:ascii="宋体" w:hAnsi="宋体"/>
          <w:sz w:val="24"/>
        </w:rPr>
        <w:t>混凝土灌注接近钢筋笼底部时，适当放慢灌注速度，减小混凝土的冲击力，防止钢筋笼上浮。</w:t>
      </w:r>
    </w:p>
    <w:p>
      <w:pPr>
        <w:spacing w:line="360" w:lineRule="auto"/>
        <w:ind w:firstLine="480" w:firstLineChars="200"/>
        <w:rPr>
          <w:rFonts w:ascii="宋体"/>
          <w:sz w:val="24"/>
        </w:rPr>
      </w:pPr>
      <w:r>
        <w:rPr>
          <w:rFonts w:hint="eastAsia" w:ascii="宋体" w:hAnsi="宋体"/>
          <w:sz w:val="24"/>
        </w:rPr>
        <w:t>⑦</w:t>
      </w:r>
      <w:r>
        <w:rPr>
          <w:rFonts w:ascii="宋体" w:hAnsi="宋体"/>
          <w:sz w:val="24"/>
        </w:rPr>
        <w:t xml:space="preserve"> </w:t>
      </w:r>
      <w:r>
        <w:rPr>
          <w:rFonts w:hint="eastAsia" w:ascii="宋体" w:hAnsi="宋体"/>
          <w:sz w:val="24"/>
        </w:rPr>
        <w:t>混凝土灌注到桩上部</w:t>
      </w:r>
      <w:r>
        <w:rPr>
          <w:rFonts w:ascii="宋体" w:hAnsi="宋体"/>
          <w:sz w:val="24"/>
        </w:rPr>
        <w:t>2m</w:t>
      </w:r>
      <w:r>
        <w:rPr>
          <w:rFonts w:hint="eastAsia" w:ascii="宋体" w:hAnsi="宋体"/>
          <w:sz w:val="24"/>
        </w:rPr>
        <w:t>以内时，不再提升导管，待灌注至规定标高一次提出导管。拔出最后一节导管时应缓慢提出，以免桩内夹入泥芯或形成空洞。</w:t>
      </w:r>
    </w:p>
    <w:p>
      <w:pPr>
        <w:spacing w:line="360" w:lineRule="auto"/>
        <w:ind w:firstLine="480" w:firstLineChars="200"/>
        <w:rPr>
          <w:rFonts w:ascii="宋体"/>
          <w:sz w:val="24"/>
        </w:rPr>
      </w:pPr>
      <w:r>
        <w:rPr>
          <w:rFonts w:hint="eastAsia" w:ascii="宋体" w:hAnsi="宋体"/>
          <w:sz w:val="24"/>
        </w:rPr>
        <w:t>⑧</w:t>
      </w:r>
      <w:r>
        <w:rPr>
          <w:rFonts w:ascii="宋体" w:hAnsi="宋体"/>
          <w:sz w:val="24"/>
        </w:rPr>
        <w:t xml:space="preserve"> </w:t>
      </w:r>
      <w:r>
        <w:rPr>
          <w:rFonts w:hint="eastAsia" w:ascii="宋体" w:hAnsi="宋体"/>
          <w:sz w:val="24"/>
        </w:rPr>
        <w:t>由于造成浮浆深度不一，因此实际灌注的桩顶标高应比设计标高高出</w:t>
      </w:r>
      <w:r>
        <w:rPr>
          <w:rFonts w:ascii="宋体" w:hAnsi="宋体"/>
          <w:sz w:val="24"/>
        </w:rPr>
        <w:t>40~80cm</w:t>
      </w:r>
      <w:r>
        <w:rPr>
          <w:rFonts w:hint="eastAsia" w:ascii="宋体" w:hAnsi="宋体"/>
          <w:sz w:val="24"/>
        </w:rPr>
        <w:t>左右。</w:t>
      </w:r>
    </w:p>
    <w:p>
      <w:pPr>
        <w:spacing w:line="360" w:lineRule="auto"/>
        <w:outlineLvl w:val="2"/>
        <w:rPr>
          <w:rFonts w:ascii="宋体"/>
          <w:b/>
          <w:sz w:val="28"/>
          <w:szCs w:val="28"/>
        </w:rPr>
      </w:pPr>
      <w:bookmarkStart w:id="76" w:name="_Toc353351897"/>
      <w:r>
        <w:rPr>
          <w:rFonts w:ascii="宋体" w:hAnsi="宋体"/>
          <w:b/>
          <w:sz w:val="28"/>
          <w:szCs w:val="28"/>
        </w:rPr>
        <w:t>7.3</w:t>
      </w:r>
      <w:r>
        <w:rPr>
          <w:rFonts w:hint="eastAsia" w:ascii="宋体" w:hAnsi="宋体"/>
          <w:b/>
          <w:sz w:val="28"/>
          <w:szCs w:val="28"/>
        </w:rPr>
        <w:t>注意事项：</w:t>
      </w:r>
      <w:bookmarkEnd w:id="76"/>
    </w:p>
    <w:p>
      <w:pPr>
        <w:spacing w:line="360" w:lineRule="auto"/>
        <w:ind w:firstLine="480" w:firstLineChars="200"/>
        <w:rPr>
          <w:rFonts w:ascii="宋体"/>
          <w:sz w:val="24"/>
        </w:rPr>
      </w:pPr>
      <w:r>
        <w:rPr>
          <w:rFonts w:ascii="宋体" w:hAnsi="宋体"/>
          <w:sz w:val="24"/>
        </w:rPr>
        <w:t>1)</w:t>
      </w:r>
      <w:r>
        <w:rPr>
          <w:rFonts w:hint="eastAsia" w:ascii="宋体" w:hAnsi="宋体"/>
          <w:sz w:val="24"/>
        </w:rPr>
        <w:t>砼灌注前，要办好隐蔽工程施工各项检查签证，施工过程中要认真填写施工记录表和施工记录。</w:t>
      </w:r>
    </w:p>
    <w:p>
      <w:pPr>
        <w:spacing w:line="360" w:lineRule="auto"/>
        <w:ind w:firstLine="480" w:firstLineChars="200"/>
        <w:rPr>
          <w:rFonts w:ascii="宋体"/>
          <w:sz w:val="24"/>
        </w:rPr>
      </w:pPr>
      <w:r>
        <w:rPr>
          <w:rFonts w:ascii="宋体" w:hAnsi="宋体"/>
          <w:sz w:val="24"/>
        </w:rPr>
        <w:t xml:space="preserve">2) </w:t>
      </w:r>
      <w:r>
        <w:rPr>
          <w:rFonts w:hint="eastAsia" w:ascii="宋体" w:hAnsi="宋体"/>
          <w:sz w:val="24"/>
        </w:rPr>
        <w:t>砼灌注工作应连续不间断进行，万一发生砼灌注中断事故，应根据导管的埋置深度，间断、少量提升导管，并立即排除故障。</w:t>
      </w:r>
    </w:p>
    <w:p>
      <w:pPr>
        <w:spacing w:line="360" w:lineRule="auto"/>
        <w:ind w:firstLine="480" w:firstLineChars="200"/>
        <w:rPr>
          <w:rFonts w:ascii="宋体"/>
          <w:sz w:val="24"/>
        </w:rPr>
      </w:pPr>
      <w:r>
        <w:rPr>
          <w:rFonts w:ascii="宋体" w:hAnsi="宋体"/>
          <w:sz w:val="24"/>
        </w:rPr>
        <w:t>3)</w:t>
      </w:r>
      <w:r>
        <w:rPr>
          <w:rFonts w:hint="eastAsia" w:ascii="宋体" w:hAnsi="宋体"/>
          <w:sz w:val="24"/>
        </w:rPr>
        <w:t>隔水栓塞应进行检查。</w:t>
      </w:r>
    </w:p>
    <w:p>
      <w:pPr>
        <w:spacing w:line="360" w:lineRule="auto"/>
        <w:ind w:firstLine="480" w:firstLineChars="200"/>
        <w:rPr>
          <w:rFonts w:ascii="宋体"/>
          <w:sz w:val="24"/>
        </w:rPr>
      </w:pPr>
      <w:r>
        <w:rPr>
          <w:rFonts w:ascii="宋体" w:hAnsi="宋体"/>
          <w:sz w:val="24"/>
        </w:rPr>
        <w:t>4)</w:t>
      </w:r>
      <w:r>
        <w:rPr>
          <w:rFonts w:hint="eastAsia" w:ascii="宋体" w:hAnsi="宋体"/>
          <w:sz w:val="24"/>
        </w:rPr>
        <w:t>施工过程中注意不使桩底注浆管受到损伤，以免影响后续工程施工。</w:t>
      </w:r>
    </w:p>
    <w:p>
      <w:pPr>
        <w:spacing w:line="360" w:lineRule="auto"/>
        <w:ind w:firstLine="480" w:firstLineChars="200"/>
        <w:rPr>
          <w:rFonts w:ascii="宋体"/>
          <w:sz w:val="24"/>
        </w:rPr>
      </w:pPr>
      <w:r>
        <w:rPr>
          <w:rFonts w:ascii="宋体" w:hAnsi="宋体"/>
          <w:sz w:val="24"/>
        </w:rPr>
        <w:t xml:space="preserve">5) </w:t>
      </w:r>
      <w:r>
        <w:rPr>
          <w:rFonts w:hint="eastAsia" w:ascii="宋体" w:hAnsi="宋体"/>
          <w:sz w:val="24"/>
        </w:rPr>
        <w:t>砼填充是一个完整、连续、不可间断的工作，灌注工作开始前，机械管理人员和负责司机应对砼灌注所使用的全部机械进行维修、保养，保证机械在施工过程中正常运转。</w:t>
      </w:r>
    </w:p>
    <w:p>
      <w:pPr>
        <w:spacing w:line="360" w:lineRule="auto"/>
        <w:ind w:firstLine="480" w:firstLineChars="200"/>
        <w:rPr>
          <w:rFonts w:ascii="宋体"/>
          <w:sz w:val="24"/>
        </w:rPr>
      </w:pPr>
      <w:r>
        <w:rPr>
          <w:rFonts w:ascii="宋体" w:hAnsi="宋体"/>
          <w:sz w:val="24"/>
        </w:rPr>
        <w:t>6)</w:t>
      </w:r>
      <w:r>
        <w:rPr>
          <w:rFonts w:hint="eastAsia" w:ascii="宋体" w:hAnsi="宋体"/>
          <w:sz w:val="24"/>
        </w:rPr>
        <w:t>灌注过程中应防止安全帽等异物掉入导管中，必要时在储料斗中部设置钢筋焊成的间距</w:t>
      </w:r>
      <w:r>
        <w:rPr>
          <w:rFonts w:ascii="宋体" w:hAnsi="宋体"/>
          <w:sz w:val="24"/>
        </w:rPr>
        <w:t>150cm</w:t>
      </w:r>
      <w:r>
        <w:rPr>
          <w:rFonts w:hint="eastAsia" w:ascii="宋体" w:hAnsi="宋体"/>
          <w:sz w:val="24"/>
        </w:rPr>
        <w:t>的方型隔格栅。</w:t>
      </w:r>
    </w:p>
    <w:p>
      <w:pPr>
        <w:spacing w:line="360" w:lineRule="auto"/>
        <w:ind w:firstLine="480" w:firstLineChars="200"/>
        <w:rPr>
          <w:rFonts w:ascii="宋体"/>
          <w:sz w:val="24"/>
        </w:rPr>
      </w:pPr>
      <w:r>
        <w:rPr>
          <w:rFonts w:ascii="宋体" w:hAnsi="宋体"/>
          <w:sz w:val="24"/>
        </w:rPr>
        <w:t xml:space="preserve">7) </w:t>
      </w:r>
      <w:r>
        <w:rPr>
          <w:rFonts w:hint="eastAsia" w:ascii="宋体" w:hAnsi="宋体"/>
          <w:sz w:val="24"/>
        </w:rPr>
        <w:t>砼灌注工作是桩基施工的关键工序，应有专人负责指挥、协调。</w:t>
      </w:r>
    </w:p>
    <w:p>
      <w:pPr>
        <w:spacing w:line="360" w:lineRule="auto"/>
        <w:ind w:firstLine="480" w:firstLineChars="200"/>
        <w:rPr>
          <w:rFonts w:ascii="宋体"/>
          <w:sz w:val="24"/>
        </w:rPr>
      </w:pPr>
      <w:r>
        <w:rPr>
          <w:rFonts w:ascii="宋体" w:hAnsi="宋体"/>
          <w:sz w:val="24"/>
        </w:rPr>
        <w:t xml:space="preserve">8) </w:t>
      </w:r>
      <w:r>
        <w:rPr>
          <w:rFonts w:hint="eastAsia" w:ascii="宋体" w:hAnsi="宋体"/>
          <w:sz w:val="24"/>
        </w:rPr>
        <w:t>水下混凝土灌注完毕，对混凝土的拌和、运输、灌注等所用设备进行清点和清洗，并妥善保管备用。</w:t>
      </w:r>
    </w:p>
    <w:p>
      <w:pPr>
        <w:spacing w:line="360" w:lineRule="auto"/>
        <w:ind w:firstLine="480" w:firstLineChars="200"/>
        <w:rPr>
          <w:rFonts w:ascii="宋体"/>
          <w:sz w:val="24"/>
        </w:rPr>
      </w:pPr>
    </w:p>
    <w:p>
      <w:pPr>
        <w:spacing w:line="360" w:lineRule="auto"/>
        <w:ind w:firstLine="480" w:firstLineChars="200"/>
        <w:rPr>
          <w:rFonts w:ascii="宋体"/>
          <w:sz w:val="24"/>
        </w:rPr>
      </w:pPr>
    </w:p>
    <w:p>
      <w:pPr>
        <w:spacing w:line="360" w:lineRule="auto"/>
        <w:rPr>
          <w:rFonts w:ascii="宋体"/>
          <w:sz w:val="24"/>
        </w:rPr>
      </w:pPr>
    </w:p>
    <w:p>
      <w:pPr>
        <w:spacing w:line="360" w:lineRule="auto"/>
        <w:rPr>
          <w:rFonts w:ascii="宋体"/>
          <w:sz w:val="24"/>
        </w:rPr>
      </w:pPr>
    </w:p>
    <w:p>
      <w:pPr>
        <w:spacing w:line="360" w:lineRule="auto"/>
        <w:rPr>
          <w:rFonts w:ascii="宋体"/>
          <w:sz w:val="24"/>
        </w:rPr>
      </w:pPr>
    </w:p>
    <w:p>
      <w:pPr>
        <w:spacing w:line="360" w:lineRule="auto"/>
        <w:rPr>
          <w:rFonts w:ascii="宋体"/>
          <w:sz w:val="24"/>
        </w:rPr>
      </w:pPr>
    </w:p>
    <w:p>
      <w:pPr>
        <w:spacing w:line="360" w:lineRule="auto"/>
        <w:rPr>
          <w:rFonts w:ascii="宋体"/>
          <w:sz w:val="24"/>
        </w:rPr>
      </w:pPr>
    </w:p>
    <w:p>
      <w:pPr>
        <w:spacing w:line="360" w:lineRule="auto"/>
        <w:rPr>
          <w:rFonts w:ascii="宋体"/>
          <w:sz w:val="24"/>
        </w:rPr>
      </w:pPr>
    </w:p>
    <w:p>
      <w:pPr>
        <w:spacing w:line="360" w:lineRule="auto"/>
        <w:rPr>
          <w:rFonts w:ascii="宋体"/>
          <w:sz w:val="24"/>
        </w:rPr>
      </w:pPr>
    </w:p>
    <w:p>
      <w:pPr>
        <w:spacing w:line="360" w:lineRule="auto"/>
        <w:rPr>
          <w:rFonts w:ascii="宋体"/>
          <w:sz w:val="24"/>
        </w:rPr>
      </w:pPr>
    </w:p>
    <w:p>
      <w:pPr>
        <w:spacing w:line="360" w:lineRule="auto"/>
        <w:rPr>
          <w:rFonts w:ascii="宋体"/>
          <w:sz w:val="24"/>
        </w:rPr>
      </w:pPr>
    </w:p>
    <w:p>
      <w:pPr>
        <w:spacing w:line="360" w:lineRule="auto"/>
        <w:rPr>
          <w:rFonts w:ascii="宋体"/>
          <w:sz w:val="24"/>
        </w:rPr>
      </w:pPr>
    </w:p>
    <w:p>
      <w:pPr>
        <w:spacing w:line="360" w:lineRule="auto"/>
        <w:rPr>
          <w:rFonts w:ascii="宋体"/>
          <w:sz w:val="24"/>
        </w:rPr>
      </w:pPr>
    </w:p>
    <w:p>
      <w:pPr>
        <w:spacing w:line="360" w:lineRule="auto"/>
        <w:rPr>
          <w:rFonts w:ascii="宋体"/>
          <w:sz w:val="24"/>
        </w:rPr>
      </w:pPr>
    </w:p>
    <w:p>
      <w:pPr>
        <w:spacing w:line="360" w:lineRule="auto"/>
        <w:rPr>
          <w:rFonts w:ascii="宋体"/>
          <w:sz w:val="24"/>
        </w:rPr>
      </w:pPr>
    </w:p>
    <w:p>
      <w:pPr>
        <w:spacing w:line="360" w:lineRule="auto"/>
        <w:rPr>
          <w:rFonts w:ascii="宋体"/>
          <w:sz w:val="24"/>
        </w:rPr>
      </w:pPr>
    </w:p>
    <w:p>
      <w:pPr>
        <w:spacing w:line="360" w:lineRule="auto"/>
        <w:rPr>
          <w:rFonts w:ascii="宋体"/>
          <w:sz w:val="24"/>
        </w:rPr>
        <w:sectPr>
          <w:footerReference r:id="rId12" w:type="default"/>
          <w:pgSz w:w="11906" w:h="16838"/>
          <w:pgMar w:top="1440" w:right="1304" w:bottom="1440" w:left="1588" w:header="851" w:footer="992" w:gutter="0"/>
          <w:pgNumType w:start="11"/>
          <w:cols w:space="720" w:num="1"/>
          <w:docGrid w:type="lines" w:linePitch="312" w:charSpace="0"/>
        </w:sectPr>
      </w:pPr>
    </w:p>
    <w:p>
      <w:pPr>
        <w:spacing w:line="360" w:lineRule="auto"/>
        <w:ind w:firstLine="964" w:firstLineChars="300"/>
        <w:jc w:val="center"/>
        <w:outlineLvl w:val="0"/>
        <w:rPr>
          <w:rFonts w:ascii="宋体"/>
          <w:b/>
          <w:bCs/>
          <w:sz w:val="32"/>
        </w:rPr>
      </w:pPr>
      <w:bookmarkStart w:id="77" w:name="_Toc350517641"/>
      <w:bookmarkStart w:id="78" w:name="_Toc353351898"/>
      <w:bookmarkStart w:id="79" w:name="_Toc66023869"/>
      <w:r>
        <w:rPr>
          <w:rFonts w:hint="eastAsia" w:ascii="宋体" w:hAnsi="宋体"/>
          <w:b/>
          <w:bCs/>
          <w:sz w:val="32"/>
        </w:rPr>
        <w:t>第八章</w:t>
      </w:r>
      <w:r>
        <w:rPr>
          <w:rFonts w:ascii="宋体" w:hAnsi="宋体"/>
          <w:b/>
          <w:bCs/>
          <w:sz w:val="32"/>
        </w:rPr>
        <w:t xml:space="preserve"> </w:t>
      </w:r>
      <w:r>
        <w:rPr>
          <w:rFonts w:hint="eastAsia" w:ascii="宋体" w:hAnsi="宋体"/>
          <w:b/>
          <w:bCs/>
          <w:sz w:val="32"/>
        </w:rPr>
        <w:t>钻孔桩施工质量保证措施</w:t>
      </w:r>
      <w:bookmarkEnd w:id="77"/>
      <w:bookmarkEnd w:id="78"/>
    </w:p>
    <w:p>
      <w:pPr>
        <w:spacing w:line="360" w:lineRule="auto"/>
        <w:outlineLvl w:val="1"/>
        <w:rPr>
          <w:rFonts w:ascii="宋体"/>
          <w:b/>
          <w:sz w:val="28"/>
          <w:szCs w:val="28"/>
        </w:rPr>
      </w:pPr>
      <w:bookmarkStart w:id="80" w:name="_Toc350517642"/>
      <w:bookmarkStart w:id="81" w:name="_Toc353351899"/>
      <w:bookmarkStart w:id="82" w:name="_Toc66023871"/>
      <w:bookmarkStart w:id="83" w:name="_Toc76201126"/>
      <w:bookmarkStart w:id="84" w:name="_Toc66023835"/>
      <w:bookmarkStart w:id="85" w:name="_Toc78360011"/>
      <w:bookmarkStart w:id="86" w:name="_Toc76201305"/>
      <w:r>
        <w:rPr>
          <w:rFonts w:ascii="宋体" w:hAnsi="宋体"/>
          <w:b/>
          <w:sz w:val="28"/>
          <w:szCs w:val="28"/>
        </w:rPr>
        <w:t>8.1</w:t>
      </w:r>
      <w:r>
        <w:rPr>
          <w:rFonts w:hint="eastAsia" w:ascii="宋体" w:hAnsi="宋体"/>
          <w:b/>
          <w:sz w:val="28"/>
          <w:szCs w:val="28"/>
        </w:rPr>
        <w:t>钻孔桩施工质量检测</w:t>
      </w:r>
      <w:bookmarkEnd w:id="80"/>
      <w:bookmarkEnd w:id="81"/>
    </w:p>
    <w:p>
      <w:pPr>
        <w:spacing w:line="360" w:lineRule="auto"/>
        <w:ind w:firstLine="480" w:firstLineChars="200"/>
        <w:rPr>
          <w:rFonts w:ascii="宋体"/>
          <w:b/>
          <w:sz w:val="24"/>
        </w:rPr>
      </w:pPr>
      <w:bookmarkStart w:id="87" w:name="_Toc131950599"/>
      <w:bookmarkStart w:id="88" w:name="_Toc131950268"/>
      <w:r>
        <w:rPr>
          <w:rFonts w:hint="eastAsia" w:ascii="宋体" w:hAnsi="宋体"/>
          <w:sz w:val="24"/>
        </w:rPr>
        <w:t>常规质量检测，钻孔桩质量检验标准见表</w:t>
      </w:r>
      <w:r>
        <w:rPr>
          <w:rFonts w:ascii="宋体" w:hAnsi="宋体"/>
          <w:sz w:val="24"/>
        </w:rPr>
        <w:t>8-1</w:t>
      </w:r>
      <w:r>
        <w:rPr>
          <w:rFonts w:hint="eastAsia" w:ascii="宋体" w:hAnsi="宋体"/>
          <w:sz w:val="24"/>
        </w:rPr>
        <w:t>：</w:t>
      </w:r>
      <w:bookmarkEnd w:id="87"/>
      <w:bookmarkEnd w:id="88"/>
      <w:r>
        <w:rPr>
          <w:rFonts w:ascii="宋体" w:hAnsi="宋体"/>
          <w:sz w:val="24"/>
        </w:rPr>
        <w:t xml:space="preserve">  </w:t>
      </w:r>
      <w:r>
        <w:rPr>
          <w:rFonts w:ascii="宋体" w:hAnsi="宋体"/>
          <w:b/>
          <w:sz w:val="24"/>
        </w:rPr>
        <w:t xml:space="preserve">                  </w:t>
      </w:r>
    </w:p>
    <w:p>
      <w:pPr>
        <w:pStyle w:val="59"/>
        <w:spacing w:line="360" w:lineRule="auto"/>
        <w:jc w:val="both"/>
        <w:rPr>
          <w:rFonts w:ascii="宋体"/>
          <w:szCs w:val="21"/>
        </w:rPr>
      </w:pPr>
      <w:r>
        <w:rPr>
          <w:rFonts w:ascii="宋体" w:hAnsi="宋体"/>
          <w:b w:val="0"/>
          <w:sz w:val="24"/>
        </w:rPr>
        <w:t xml:space="preserve">                           </w:t>
      </w:r>
      <w:r>
        <w:rPr>
          <w:rFonts w:hint="eastAsia" w:ascii="宋体" w:hAnsi="宋体"/>
          <w:szCs w:val="21"/>
        </w:rPr>
        <w:t>表</w:t>
      </w:r>
      <w:r>
        <w:rPr>
          <w:rFonts w:ascii="宋体" w:hAnsi="宋体"/>
          <w:szCs w:val="21"/>
        </w:rPr>
        <w:t xml:space="preserve">8-1 </w:t>
      </w:r>
      <w:r>
        <w:rPr>
          <w:rFonts w:hint="eastAsia" w:ascii="宋体" w:hAnsi="宋体"/>
          <w:szCs w:val="21"/>
        </w:rPr>
        <w:t>钻孔桩质量检验标准</w:t>
      </w:r>
    </w:p>
    <w:tbl>
      <w:tblPr>
        <w:tblStyle w:val="29"/>
        <w:tblW w:w="8492" w:type="dxa"/>
        <w:jc w:val="center"/>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900"/>
        <w:gridCol w:w="3689"/>
        <w:gridCol w:w="3903"/>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900" w:type="dxa"/>
            <w:tcBorders>
              <w:top w:val="double" w:color="auto" w:sz="4" w:space="0"/>
            </w:tcBorders>
            <w:vAlign w:val="center"/>
          </w:tcPr>
          <w:p>
            <w:pPr>
              <w:pStyle w:val="55"/>
              <w:spacing w:line="360" w:lineRule="auto"/>
              <w:outlineLvl w:val="9"/>
              <w:rPr>
                <w:sz w:val="21"/>
                <w:szCs w:val="21"/>
              </w:rPr>
            </w:pPr>
            <w:r>
              <w:rPr>
                <w:rFonts w:hint="eastAsia"/>
                <w:sz w:val="21"/>
                <w:szCs w:val="21"/>
              </w:rPr>
              <w:t>项</w:t>
            </w:r>
            <w:r>
              <w:rPr>
                <w:sz w:val="21"/>
                <w:szCs w:val="21"/>
              </w:rPr>
              <w:t xml:space="preserve"> </w:t>
            </w:r>
            <w:r>
              <w:rPr>
                <w:rFonts w:hint="eastAsia"/>
                <w:sz w:val="21"/>
                <w:szCs w:val="21"/>
              </w:rPr>
              <w:t>次</w:t>
            </w:r>
          </w:p>
        </w:tc>
        <w:tc>
          <w:tcPr>
            <w:tcW w:w="3689" w:type="dxa"/>
            <w:tcBorders>
              <w:top w:val="double" w:color="auto" w:sz="4" w:space="0"/>
            </w:tcBorders>
            <w:vAlign w:val="center"/>
          </w:tcPr>
          <w:p>
            <w:pPr>
              <w:pStyle w:val="55"/>
              <w:spacing w:line="360" w:lineRule="auto"/>
              <w:outlineLvl w:val="9"/>
              <w:rPr>
                <w:sz w:val="21"/>
                <w:szCs w:val="21"/>
              </w:rPr>
            </w:pPr>
            <w:r>
              <w:rPr>
                <w:rFonts w:hint="eastAsia"/>
                <w:sz w:val="21"/>
                <w:szCs w:val="21"/>
              </w:rPr>
              <w:t>检</w:t>
            </w:r>
            <w:r>
              <w:rPr>
                <w:sz w:val="21"/>
                <w:szCs w:val="21"/>
              </w:rPr>
              <w:t xml:space="preserve"> </w:t>
            </w:r>
            <w:r>
              <w:rPr>
                <w:rFonts w:hint="eastAsia"/>
                <w:sz w:val="21"/>
                <w:szCs w:val="21"/>
              </w:rPr>
              <w:t>查</w:t>
            </w:r>
            <w:r>
              <w:rPr>
                <w:sz w:val="21"/>
                <w:szCs w:val="21"/>
              </w:rPr>
              <w:t xml:space="preserve"> </w:t>
            </w:r>
            <w:r>
              <w:rPr>
                <w:rFonts w:hint="eastAsia"/>
                <w:sz w:val="21"/>
                <w:szCs w:val="21"/>
              </w:rPr>
              <w:t>项</w:t>
            </w:r>
            <w:r>
              <w:rPr>
                <w:sz w:val="21"/>
                <w:szCs w:val="21"/>
              </w:rPr>
              <w:t xml:space="preserve"> </w:t>
            </w:r>
            <w:r>
              <w:rPr>
                <w:rFonts w:hint="eastAsia"/>
                <w:sz w:val="21"/>
                <w:szCs w:val="21"/>
              </w:rPr>
              <w:t>目</w:t>
            </w:r>
          </w:p>
        </w:tc>
        <w:tc>
          <w:tcPr>
            <w:tcW w:w="3903" w:type="dxa"/>
            <w:tcBorders>
              <w:top w:val="double" w:color="auto" w:sz="4" w:space="0"/>
            </w:tcBorders>
            <w:vAlign w:val="center"/>
          </w:tcPr>
          <w:p>
            <w:pPr>
              <w:pStyle w:val="55"/>
              <w:spacing w:line="360" w:lineRule="auto"/>
              <w:outlineLvl w:val="9"/>
              <w:rPr>
                <w:sz w:val="21"/>
                <w:szCs w:val="21"/>
              </w:rPr>
            </w:pPr>
            <w:r>
              <w:rPr>
                <w:rFonts w:hint="eastAsia"/>
                <w:sz w:val="21"/>
                <w:szCs w:val="21"/>
              </w:rPr>
              <w:t>规定值或允许偏差值</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900" w:type="dxa"/>
            <w:vAlign w:val="center"/>
          </w:tcPr>
          <w:p>
            <w:pPr>
              <w:pStyle w:val="55"/>
              <w:spacing w:line="360" w:lineRule="auto"/>
              <w:outlineLvl w:val="9"/>
              <w:rPr>
                <w:sz w:val="21"/>
                <w:szCs w:val="21"/>
              </w:rPr>
            </w:pPr>
            <w:r>
              <w:rPr>
                <w:sz w:val="21"/>
                <w:szCs w:val="21"/>
              </w:rPr>
              <w:t>1</w:t>
            </w:r>
          </w:p>
        </w:tc>
        <w:tc>
          <w:tcPr>
            <w:tcW w:w="3689" w:type="dxa"/>
            <w:vAlign w:val="center"/>
          </w:tcPr>
          <w:p>
            <w:pPr>
              <w:pStyle w:val="55"/>
              <w:spacing w:line="360" w:lineRule="auto"/>
              <w:outlineLvl w:val="9"/>
              <w:rPr>
                <w:sz w:val="21"/>
                <w:szCs w:val="21"/>
              </w:rPr>
            </w:pPr>
            <w:r>
              <w:rPr>
                <w:rFonts w:hint="eastAsia"/>
                <w:sz w:val="21"/>
                <w:szCs w:val="21"/>
              </w:rPr>
              <w:t>混凝土强度（</w:t>
            </w:r>
            <w:r>
              <w:rPr>
                <w:sz w:val="21"/>
                <w:szCs w:val="21"/>
              </w:rPr>
              <w:t>MPa</w:t>
            </w:r>
            <w:r>
              <w:rPr>
                <w:rFonts w:hint="eastAsia"/>
                <w:sz w:val="21"/>
                <w:szCs w:val="21"/>
              </w:rPr>
              <w:t>）</w:t>
            </w:r>
          </w:p>
        </w:tc>
        <w:tc>
          <w:tcPr>
            <w:tcW w:w="3903" w:type="dxa"/>
            <w:vAlign w:val="center"/>
          </w:tcPr>
          <w:p>
            <w:pPr>
              <w:pStyle w:val="55"/>
              <w:spacing w:line="360" w:lineRule="auto"/>
              <w:outlineLvl w:val="9"/>
              <w:rPr>
                <w:sz w:val="21"/>
                <w:szCs w:val="21"/>
              </w:rPr>
            </w:pPr>
            <w:r>
              <w:rPr>
                <w:rFonts w:hint="eastAsia"/>
                <w:sz w:val="21"/>
                <w:szCs w:val="21"/>
              </w:rPr>
              <w:t>在合格标准内</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900" w:type="dxa"/>
            <w:vAlign w:val="center"/>
          </w:tcPr>
          <w:p>
            <w:pPr>
              <w:pStyle w:val="55"/>
              <w:spacing w:line="360" w:lineRule="auto"/>
              <w:outlineLvl w:val="9"/>
              <w:rPr>
                <w:sz w:val="21"/>
                <w:szCs w:val="21"/>
              </w:rPr>
            </w:pPr>
            <w:r>
              <w:rPr>
                <w:sz w:val="21"/>
                <w:szCs w:val="21"/>
              </w:rPr>
              <w:t>2</w:t>
            </w:r>
          </w:p>
        </w:tc>
        <w:tc>
          <w:tcPr>
            <w:tcW w:w="3689" w:type="dxa"/>
            <w:vAlign w:val="center"/>
          </w:tcPr>
          <w:p>
            <w:pPr>
              <w:pStyle w:val="55"/>
              <w:spacing w:line="360" w:lineRule="auto"/>
              <w:outlineLvl w:val="9"/>
              <w:rPr>
                <w:sz w:val="21"/>
                <w:szCs w:val="21"/>
              </w:rPr>
            </w:pPr>
            <w:r>
              <w:rPr>
                <w:rFonts w:hint="eastAsia"/>
                <w:sz w:val="21"/>
                <w:szCs w:val="21"/>
              </w:rPr>
              <w:t>孔位中心（</w:t>
            </w:r>
            <w:r>
              <w:rPr>
                <w:sz w:val="21"/>
                <w:szCs w:val="21"/>
              </w:rPr>
              <w:t>mm</w:t>
            </w:r>
            <w:r>
              <w:rPr>
                <w:rFonts w:hint="eastAsia"/>
                <w:sz w:val="21"/>
                <w:szCs w:val="21"/>
              </w:rPr>
              <w:t>）</w:t>
            </w:r>
          </w:p>
        </w:tc>
        <w:tc>
          <w:tcPr>
            <w:tcW w:w="3903" w:type="dxa"/>
            <w:vAlign w:val="center"/>
          </w:tcPr>
          <w:p>
            <w:pPr>
              <w:pStyle w:val="55"/>
              <w:spacing w:line="360" w:lineRule="auto"/>
              <w:outlineLvl w:val="9"/>
              <w:rPr>
                <w:sz w:val="21"/>
                <w:szCs w:val="21"/>
              </w:rPr>
            </w:pPr>
            <w:r>
              <w:rPr>
                <w:sz w:val="21"/>
                <w:szCs w:val="21"/>
              </w:rPr>
              <w:t>100</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900" w:type="dxa"/>
            <w:vAlign w:val="center"/>
          </w:tcPr>
          <w:p>
            <w:pPr>
              <w:pStyle w:val="55"/>
              <w:spacing w:line="360" w:lineRule="auto"/>
              <w:outlineLvl w:val="9"/>
              <w:rPr>
                <w:sz w:val="21"/>
                <w:szCs w:val="21"/>
              </w:rPr>
            </w:pPr>
            <w:r>
              <w:rPr>
                <w:sz w:val="21"/>
                <w:szCs w:val="21"/>
              </w:rPr>
              <w:t>3</w:t>
            </w:r>
          </w:p>
        </w:tc>
        <w:tc>
          <w:tcPr>
            <w:tcW w:w="3689" w:type="dxa"/>
            <w:vAlign w:val="center"/>
          </w:tcPr>
          <w:p>
            <w:pPr>
              <w:pStyle w:val="55"/>
              <w:spacing w:line="360" w:lineRule="auto"/>
              <w:outlineLvl w:val="9"/>
              <w:rPr>
                <w:sz w:val="21"/>
                <w:szCs w:val="21"/>
              </w:rPr>
            </w:pPr>
            <w:r>
              <w:rPr>
                <w:rFonts w:hint="eastAsia"/>
                <w:sz w:val="21"/>
                <w:szCs w:val="21"/>
              </w:rPr>
              <w:t>倾斜度（</w:t>
            </w:r>
            <w:r>
              <w:rPr>
                <w:sz w:val="21"/>
                <w:szCs w:val="21"/>
              </w:rPr>
              <w:t>%</w:t>
            </w:r>
            <w:r>
              <w:rPr>
                <w:rFonts w:hint="eastAsia"/>
                <w:sz w:val="21"/>
                <w:szCs w:val="21"/>
              </w:rPr>
              <w:t>）</w:t>
            </w:r>
          </w:p>
        </w:tc>
        <w:tc>
          <w:tcPr>
            <w:tcW w:w="3903" w:type="dxa"/>
            <w:vAlign w:val="center"/>
          </w:tcPr>
          <w:p>
            <w:pPr>
              <w:pStyle w:val="55"/>
              <w:spacing w:line="360" w:lineRule="auto"/>
              <w:outlineLvl w:val="9"/>
              <w:rPr>
                <w:sz w:val="21"/>
                <w:szCs w:val="21"/>
              </w:rPr>
            </w:pPr>
            <w:r>
              <w:rPr>
                <w:rFonts w:hint="eastAsia"/>
                <w:sz w:val="21"/>
                <w:szCs w:val="21"/>
              </w:rPr>
              <w:t>≦</w:t>
            </w:r>
            <w:r>
              <w:rPr>
                <w:sz w:val="21"/>
                <w:szCs w:val="21"/>
              </w:rPr>
              <w:t>1</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900" w:type="dxa"/>
            <w:vAlign w:val="center"/>
          </w:tcPr>
          <w:p>
            <w:pPr>
              <w:pStyle w:val="55"/>
              <w:spacing w:line="360" w:lineRule="auto"/>
              <w:outlineLvl w:val="9"/>
              <w:rPr>
                <w:sz w:val="21"/>
                <w:szCs w:val="21"/>
              </w:rPr>
            </w:pPr>
            <w:r>
              <w:rPr>
                <w:sz w:val="21"/>
                <w:szCs w:val="21"/>
              </w:rPr>
              <w:t>4</w:t>
            </w:r>
          </w:p>
        </w:tc>
        <w:tc>
          <w:tcPr>
            <w:tcW w:w="3689" w:type="dxa"/>
            <w:vAlign w:val="center"/>
          </w:tcPr>
          <w:p>
            <w:pPr>
              <w:pStyle w:val="55"/>
              <w:spacing w:line="360" w:lineRule="auto"/>
              <w:outlineLvl w:val="9"/>
              <w:rPr>
                <w:sz w:val="21"/>
                <w:szCs w:val="21"/>
              </w:rPr>
            </w:pPr>
            <w:r>
              <w:rPr>
                <w:rFonts w:hint="eastAsia"/>
                <w:sz w:val="21"/>
                <w:szCs w:val="21"/>
              </w:rPr>
              <w:t>沉淀厚度（</w:t>
            </w:r>
            <w:r>
              <w:rPr>
                <w:sz w:val="21"/>
                <w:szCs w:val="21"/>
              </w:rPr>
              <w:t>mm</w:t>
            </w:r>
            <w:r>
              <w:rPr>
                <w:rFonts w:hint="eastAsia"/>
                <w:sz w:val="21"/>
                <w:szCs w:val="21"/>
              </w:rPr>
              <w:t>）</w:t>
            </w:r>
          </w:p>
        </w:tc>
        <w:tc>
          <w:tcPr>
            <w:tcW w:w="3903" w:type="dxa"/>
            <w:vAlign w:val="center"/>
          </w:tcPr>
          <w:p>
            <w:pPr>
              <w:pStyle w:val="55"/>
              <w:spacing w:line="360" w:lineRule="auto"/>
              <w:outlineLvl w:val="9"/>
              <w:rPr>
                <w:sz w:val="21"/>
                <w:szCs w:val="21"/>
              </w:rPr>
            </w:pPr>
            <w:r>
              <w:rPr>
                <w:sz w:val="21"/>
                <w:szCs w:val="21"/>
              </w:rPr>
              <w:t>50</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PrEx>
        <w:trPr>
          <w:trHeight w:val="397" w:hRule="atLeast"/>
          <w:jc w:val="center"/>
        </w:trPr>
        <w:tc>
          <w:tcPr>
            <w:tcW w:w="900" w:type="dxa"/>
            <w:vAlign w:val="center"/>
          </w:tcPr>
          <w:p>
            <w:pPr>
              <w:pStyle w:val="55"/>
              <w:spacing w:line="360" w:lineRule="auto"/>
              <w:rPr>
                <w:sz w:val="21"/>
                <w:szCs w:val="21"/>
              </w:rPr>
            </w:pPr>
            <w:r>
              <w:rPr>
                <w:sz w:val="21"/>
                <w:szCs w:val="21"/>
              </w:rPr>
              <w:t>5</w:t>
            </w:r>
          </w:p>
        </w:tc>
        <w:tc>
          <w:tcPr>
            <w:tcW w:w="3689" w:type="dxa"/>
            <w:vAlign w:val="center"/>
          </w:tcPr>
          <w:p>
            <w:pPr>
              <w:pStyle w:val="55"/>
              <w:spacing w:line="360" w:lineRule="auto"/>
              <w:rPr>
                <w:sz w:val="21"/>
                <w:szCs w:val="21"/>
              </w:rPr>
            </w:pPr>
            <w:r>
              <w:rPr>
                <w:rFonts w:hint="eastAsia"/>
                <w:sz w:val="21"/>
                <w:szCs w:val="21"/>
              </w:rPr>
              <w:t>钢筋笼平面位置位置偏差（</w:t>
            </w:r>
            <w:r>
              <w:rPr>
                <w:sz w:val="21"/>
                <w:szCs w:val="21"/>
              </w:rPr>
              <w:t>mm</w:t>
            </w:r>
            <w:r>
              <w:rPr>
                <w:rFonts w:hint="eastAsia"/>
                <w:sz w:val="21"/>
                <w:szCs w:val="21"/>
              </w:rPr>
              <w:t>）</w:t>
            </w:r>
          </w:p>
        </w:tc>
        <w:tc>
          <w:tcPr>
            <w:tcW w:w="3903" w:type="dxa"/>
            <w:vAlign w:val="center"/>
          </w:tcPr>
          <w:p>
            <w:pPr>
              <w:pStyle w:val="55"/>
              <w:spacing w:line="360" w:lineRule="auto"/>
              <w:rPr>
                <w:sz w:val="21"/>
                <w:szCs w:val="21"/>
              </w:rPr>
            </w:pPr>
            <w:r>
              <w:rPr>
                <w:sz w:val="21"/>
                <w:szCs w:val="21"/>
              </w:rPr>
              <w:t>100</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900" w:type="dxa"/>
            <w:vAlign w:val="center"/>
          </w:tcPr>
          <w:p>
            <w:pPr>
              <w:pStyle w:val="55"/>
              <w:spacing w:line="360" w:lineRule="auto"/>
              <w:outlineLvl w:val="9"/>
              <w:rPr>
                <w:sz w:val="21"/>
                <w:szCs w:val="21"/>
              </w:rPr>
            </w:pPr>
            <w:r>
              <w:rPr>
                <w:sz w:val="21"/>
                <w:szCs w:val="21"/>
              </w:rPr>
              <w:t>6</w:t>
            </w:r>
          </w:p>
        </w:tc>
        <w:tc>
          <w:tcPr>
            <w:tcW w:w="3689" w:type="dxa"/>
            <w:vAlign w:val="center"/>
          </w:tcPr>
          <w:p>
            <w:pPr>
              <w:pStyle w:val="55"/>
              <w:spacing w:line="360" w:lineRule="auto"/>
              <w:outlineLvl w:val="9"/>
              <w:rPr>
                <w:sz w:val="21"/>
                <w:szCs w:val="21"/>
              </w:rPr>
            </w:pPr>
            <w:r>
              <w:rPr>
                <w:rFonts w:hint="eastAsia"/>
                <w:sz w:val="21"/>
                <w:szCs w:val="21"/>
              </w:rPr>
              <w:t>钢筋骨架底面高程（</w:t>
            </w:r>
            <w:r>
              <w:rPr>
                <w:sz w:val="21"/>
                <w:szCs w:val="21"/>
              </w:rPr>
              <w:t>mm</w:t>
            </w:r>
            <w:r>
              <w:rPr>
                <w:rFonts w:hint="eastAsia"/>
                <w:sz w:val="21"/>
                <w:szCs w:val="21"/>
              </w:rPr>
              <w:t>）</w:t>
            </w:r>
          </w:p>
        </w:tc>
        <w:tc>
          <w:tcPr>
            <w:tcW w:w="3903" w:type="dxa"/>
            <w:vAlign w:val="center"/>
          </w:tcPr>
          <w:p>
            <w:pPr>
              <w:pStyle w:val="55"/>
              <w:spacing w:line="360" w:lineRule="auto"/>
              <w:outlineLvl w:val="9"/>
              <w:rPr>
                <w:sz w:val="21"/>
                <w:szCs w:val="21"/>
              </w:rPr>
            </w:pPr>
            <w:r>
              <w:rPr>
                <w:rFonts w:hint="eastAsia"/>
                <w:sz w:val="21"/>
                <w:szCs w:val="21"/>
              </w:rPr>
              <w:t>±</w:t>
            </w:r>
            <w:r>
              <w:rPr>
                <w:sz w:val="21"/>
                <w:szCs w:val="21"/>
              </w:rPr>
              <w:t>10</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900" w:type="dxa"/>
            <w:tcBorders>
              <w:bottom w:val="double" w:color="auto" w:sz="4" w:space="0"/>
            </w:tcBorders>
            <w:vAlign w:val="center"/>
          </w:tcPr>
          <w:p>
            <w:pPr>
              <w:pStyle w:val="55"/>
              <w:spacing w:line="360" w:lineRule="auto"/>
              <w:outlineLvl w:val="9"/>
              <w:rPr>
                <w:sz w:val="21"/>
                <w:szCs w:val="21"/>
              </w:rPr>
            </w:pPr>
            <w:r>
              <w:rPr>
                <w:sz w:val="21"/>
                <w:szCs w:val="21"/>
              </w:rPr>
              <w:t>7</w:t>
            </w:r>
          </w:p>
        </w:tc>
        <w:tc>
          <w:tcPr>
            <w:tcW w:w="3689" w:type="dxa"/>
            <w:tcBorders>
              <w:bottom w:val="double" w:color="auto" w:sz="4" w:space="0"/>
            </w:tcBorders>
            <w:vAlign w:val="center"/>
          </w:tcPr>
          <w:p>
            <w:pPr>
              <w:pStyle w:val="55"/>
              <w:spacing w:line="360" w:lineRule="auto"/>
              <w:outlineLvl w:val="9"/>
              <w:rPr>
                <w:sz w:val="21"/>
                <w:szCs w:val="21"/>
              </w:rPr>
            </w:pPr>
            <w:r>
              <w:rPr>
                <w:rFonts w:hint="eastAsia"/>
                <w:sz w:val="21"/>
                <w:szCs w:val="21"/>
              </w:rPr>
              <w:t>充盈系数</w:t>
            </w:r>
          </w:p>
        </w:tc>
        <w:tc>
          <w:tcPr>
            <w:tcW w:w="3903" w:type="dxa"/>
            <w:tcBorders>
              <w:bottom w:val="double" w:color="auto" w:sz="4" w:space="0"/>
            </w:tcBorders>
            <w:vAlign w:val="center"/>
          </w:tcPr>
          <w:p>
            <w:pPr>
              <w:pStyle w:val="55"/>
              <w:spacing w:line="360" w:lineRule="auto"/>
              <w:outlineLvl w:val="9"/>
              <w:rPr>
                <w:sz w:val="21"/>
                <w:szCs w:val="21"/>
              </w:rPr>
            </w:pPr>
            <w:r>
              <w:rPr>
                <w:sz w:val="21"/>
                <w:szCs w:val="21"/>
              </w:rPr>
              <w:t>1.15</w:t>
            </w:r>
          </w:p>
        </w:tc>
      </w:tr>
    </w:tbl>
    <w:p>
      <w:pPr>
        <w:spacing w:line="360" w:lineRule="auto"/>
        <w:ind w:firstLine="480" w:firstLineChars="200"/>
        <w:rPr>
          <w:rFonts w:ascii="宋体"/>
          <w:sz w:val="24"/>
        </w:rPr>
      </w:pPr>
      <w:r>
        <w:rPr>
          <w:rFonts w:hint="eastAsia" w:ascii="宋体" w:hAnsi="宋体"/>
          <w:sz w:val="24"/>
        </w:rPr>
        <w:t>钻孔桩除进行常规质量检测外，尚须进行如下质量检测：</w:t>
      </w:r>
    </w:p>
    <w:p>
      <w:pPr>
        <w:spacing w:line="360" w:lineRule="auto"/>
        <w:ind w:firstLine="480" w:firstLineChars="200"/>
        <w:rPr>
          <w:rFonts w:ascii="宋体"/>
          <w:sz w:val="24"/>
        </w:rPr>
      </w:pPr>
      <w:r>
        <w:rPr>
          <w:rFonts w:hint="eastAsia" w:ascii="宋体" w:hAnsi="宋体"/>
          <w:sz w:val="24"/>
        </w:rPr>
        <w:t>钻孔桩混凝土强度达到设计规定后，对部分桩进行超声波检测。当一定数量的桩基符合检测要求后，由总监代表办公室书面传真通知检测单位。</w:t>
      </w:r>
    </w:p>
    <w:p>
      <w:pPr>
        <w:spacing w:line="360" w:lineRule="auto"/>
        <w:outlineLvl w:val="1"/>
        <w:rPr>
          <w:rFonts w:ascii="宋体"/>
          <w:b/>
          <w:sz w:val="28"/>
          <w:szCs w:val="28"/>
        </w:rPr>
      </w:pPr>
      <w:bookmarkStart w:id="89" w:name="_Toc79502501"/>
      <w:bookmarkStart w:id="90" w:name="_Toc74748495"/>
      <w:bookmarkStart w:id="91" w:name="_Toc123547562"/>
      <w:bookmarkStart w:id="92" w:name="_Toc350517643"/>
      <w:bookmarkStart w:id="93" w:name="_Toc353351900"/>
      <w:bookmarkStart w:id="94" w:name="_Toc74748018"/>
      <w:bookmarkStart w:id="95" w:name="_Toc130043637"/>
      <w:bookmarkStart w:id="96" w:name="_Toc130043636"/>
      <w:r>
        <w:rPr>
          <w:rFonts w:ascii="宋体" w:hAnsi="宋体"/>
          <w:b/>
          <w:sz w:val="28"/>
          <w:szCs w:val="28"/>
        </w:rPr>
        <w:t>8.2</w:t>
      </w:r>
      <w:r>
        <w:rPr>
          <w:rFonts w:hint="eastAsia" w:ascii="宋体" w:hAnsi="宋体"/>
          <w:b/>
          <w:sz w:val="28"/>
          <w:szCs w:val="28"/>
        </w:rPr>
        <w:t>工程质量目标</w:t>
      </w:r>
      <w:bookmarkEnd w:id="89"/>
      <w:bookmarkEnd w:id="90"/>
      <w:bookmarkEnd w:id="91"/>
      <w:bookmarkEnd w:id="92"/>
      <w:bookmarkEnd w:id="93"/>
      <w:bookmarkEnd w:id="94"/>
      <w:bookmarkEnd w:id="95"/>
    </w:p>
    <w:p>
      <w:pPr>
        <w:spacing w:line="360" w:lineRule="auto"/>
        <w:ind w:firstLine="482" w:firstLineChars="200"/>
        <w:outlineLvl w:val="2"/>
        <w:rPr>
          <w:rFonts w:ascii="宋体"/>
          <w:b/>
          <w:sz w:val="24"/>
        </w:rPr>
      </w:pPr>
      <w:bookmarkStart w:id="97" w:name="_Toc123547563"/>
      <w:bookmarkStart w:id="98" w:name="_Toc353351901"/>
      <w:bookmarkStart w:id="99" w:name="_Toc130043638"/>
      <w:bookmarkStart w:id="100" w:name="_Toc66028432"/>
      <w:bookmarkStart w:id="101" w:name="_Toc74748496"/>
      <w:r>
        <w:rPr>
          <w:rFonts w:ascii="宋体" w:hAnsi="宋体"/>
          <w:b/>
          <w:sz w:val="24"/>
        </w:rPr>
        <w:t xml:space="preserve">8.2.1 </w:t>
      </w:r>
      <w:r>
        <w:rPr>
          <w:rFonts w:hint="eastAsia" w:ascii="宋体" w:hAnsi="宋体"/>
          <w:b/>
          <w:sz w:val="24"/>
        </w:rPr>
        <w:t>质量目标</w:t>
      </w:r>
      <w:bookmarkEnd w:id="97"/>
      <w:bookmarkEnd w:id="98"/>
      <w:bookmarkEnd w:id="99"/>
      <w:bookmarkEnd w:id="100"/>
      <w:bookmarkEnd w:id="101"/>
    </w:p>
    <w:p>
      <w:pPr>
        <w:spacing w:line="360" w:lineRule="auto"/>
        <w:ind w:firstLine="480" w:firstLineChars="200"/>
        <w:rPr>
          <w:rFonts w:ascii="宋体"/>
          <w:sz w:val="24"/>
        </w:rPr>
      </w:pPr>
      <w:r>
        <w:rPr>
          <w:rFonts w:hint="eastAsia" w:ascii="宋体" w:hAnsi="宋体"/>
          <w:sz w:val="24"/>
        </w:rPr>
        <w:t>确保全部工程达到国家现行的工程质量验收标准并满足业主针对本工程制定的有关规定和要求。分部工程一次验收合格率达到</w:t>
      </w:r>
      <w:r>
        <w:rPr>
          <w:rFonts w:ascii="宋体" w:hAnsi="宋体"/>
          <w:sz w:val="24"/>
        </w:rPr>
        <w:t>100%</w:t>
      </w:r>
      <w:r>
        <w:rPr>
          <w:rFonts w:hint="eastAsia" w:ascii="宋体" w:hAnsi="宋体"/>
          <w:sz w:val="24"/>
        </w:rPr>
        <w:t>，工程优良率达到</w:t>
      </w:r>
      <w:r>
        <w:rPr>
          <w:rFonts w:ascii="宋体" w:hAnsi="宋体"/>
          <w:sz w:val="24"/>
        </w:rPr>
        <w:t>95%</w:t>
      </w:r>
      <w:r>
        <w:rPr>
          <w:rFonts w:hint="eastAsia" w:ascii="宋体" w:hAnsi="宋体"/>
          <w:sz w:val="24"/>
        </w:rPr>
        <w:t>以上。</w:t>
      </w:r>
    </w:p>
    <w:p>
      <w:pPr>
        <w:spacing w:line="360" w:lineRule="auto"/>
        <w:ind w:firstLine="482" w:firstLineChars="200"/>
        <w:outlineLvl w:val="2"/>
        <w:rPr>
          <w:rFonts w:ascii="宋体"/>
          <w:b/>
          <w:sz w:val="24"/>
        </w:rPr>
      </w:pPr>
      <w:bookmarkStart w:id="102" w:name="_Toc123547564"/>
      <w:bookmarkStart w:id="103" w:name="_Toc74748497"/>
      <w:bookmarkStart w:id="104" w:name="_Toc66028433"/>
      <w:bookmarkStart w:id="105" w:name="_Toc130043639"/>
      <w:bookmarkStart w:id="106" w:name="_Toc353351902"/>
      <w:r>
        <w:rPr>
          <w:rFonts w:ascii="宋体" w:hAnsi="宋体"/>
          <w:b/>
          <w:sz w:val="24"/>
        </w:rPr>
        <w:t>8.2.2</w:t>
      </w:r>
      <w:r>
        <w:rPr>
          <w:rFonts w:hint="eastAsia" w:ascii="宋体" w:hAnsi="宋体"/>
          <w:b/>
          <w:sz w:val="24"/>
        </w:rPr>
        <w:t>创优方针</w:t>
      </w:r>
      <w:bookmarkEnd w:id="102"/>
      <w:bookmarkEnd w:id="103"/>
      <w:bookmarkEnd w:id="104"/>
      <w:bookmarkEnd w:id="105"/>
      <w:bookmarkEnd w:id="106"/>
    </w:p>
    <w:p>
      <w:pPr>
        <w:spacing w:line="360" w:lineRule="auto"/>
        <w:ind w:firstLine="480" w:firstLineChars="200"/>
      </w:pPr>
      <w:r>
        <w:rPr>
          <w:rFonts w:hint="eastAsia" w:ascii="宋体" w:hAnsi="宋体"/>
          <w:sz w:val="24"/>
        </w:rPr>
        <w:t>以</w:t>
      </w:r>
      <w:r>
        <w:rPr>
          <w:rFonts w:ascii="宋体" w:hAnsi="宋体"/>
          <w:sz w:val="24"/>
        </w:rPr>
        <w:t>GB/T19001-2000</w:t>
      </w:r>
      <w:r>
        <w:rPr>
          <w:rFonts w:hint="eastAsia" w:ascii="宋体" w:hAnsi="宋体"/>
          <w:sz w:val="24"/>
        </w:rPr>
        <w:t>和</w:t>
      </w:r>
      <w:r>
        <w:rPr>
          <w:rFonts w:ascii="宋体" w:hAnsi="宋体"/>
          <w:sz w:val="24"/>
        </w:rPr>
        <w:t>ISO9001:2000</w:t>
      </w:r>
      <w:r>
        <w:rPr>
          <w:rFonts w:hint="eastAsia" w:ascii="宋体" w:hAnsi="宋体"/>
          <w:sz w:val="24"/>
        </w:rPr>
        <w:t>国际标准作指导，以企业质量宗旨为准则，不负业主重托，严格质量管理，确保每道工序受控，建造业主满意工程。</w:t>
      </w:r>
    </w:p>
    <w:p>
      <w:pPr>
        <w:spacing w:line="360" w:lineRule="auto"/>
        <w:outlineLvl w:val="1"/>
        <w:rPr>
          <w:rFonts w:ascii="宋体"/>
          <w:b/>
          <w:sz w:val="28"/>
          <w:szCs w:val="28"/>
        </w:rPr>
      </w:pPr>
      <w:bookmarkStart w:id="107" w:name="_Toc350517644"/>
      <w:bookmarkStart w:id="108" w:name="_Toc353351903"/>
      <w:r>
        <w:rPr>
          <w:rFonts w:ascii="宋体" w:hAnsi="宋体"/>
          <w:b/>
          <w:sz w:val="28"/>
          <w:szCs w:val="28"/>
        </w:rPr>
        <w:t>8.3</w:t>
      </w:r>
      <w:r>
        <w:rPr>
          <w:rFonts w:hint="eastAsia" w:ascii="宋体" w:hAnsi="宋体"/>
          <w:b/>
          <w:sz w:val="28"/>
          <w:szCs w:val="28"/>
        </w:rPr>
        <w:t>质量保证体系</w:t>
      </w:r>
      <w:bookmarkEnd w:id="96"/>
      <w:bookmarkEnd w:id="107"/>
      <w:bookmarkEnd w:id="108"/>
    </w:p>
    <w:p>
      <w:pPr>
        <w:snapToGrid w:val="0"/>
        <w:spacing w:line="360" w:lineRule="auto"/>
        <w:ind w:firstLine="439" w:firstLineChars="183"/>
        <w:rPr>
          <w:rFonts w:ascii="宋体"/>
          <w:color w:val="000000"/>
          <w:sz w:val="24"/>
        </w:rPr>
      </w:pPr>
      <w:r>
        <w:rPr>
          <w:rFonts w:ascii="宋体" w:hAnsi="宋体"/>
          <w:color w:val="000000"/>
          <w:sz w:val="24"/>
        </w:rPr>
        <w:t>1</w:t>
      </w:r>
      <w:r>
        <w:rPr>
          <w:rFonts w:hint="eastAsia" w:ascii="宋体" w:hAnsi="宋体"/>
          <w:color w:val="000000"/>
          <w:sz w:val="24"/>
        </w:rPr>
        <w:t>、成立以项目部常务项目经理为组长，项目副经理、项目总工程师为副组长，由项目部各职能部门负责人、下属各工区负责人和工区技术主管、钢结构加工厂、钢筋加工厂、混凝土工厂生产和技术负责人参加的全面质量管理领导小组，积极组织开展全面质量管理活动，优化施工工艺，提高工程质量，实现创优目标。</w:t>
      </w:r>
    </w:p>
    <w:p>
      <w:pPr>
        <w:snapToGrid w:val="0"/>
        <w:spacing w:line="360" w:lineRule="auto"/>
        <w:ind w:firstLine="439" w:firstLineChars="183"/>
        <w:rPr>
          <w:rFonts w:ascii="宋体"/>
          <w:color w:val="000000"/>
          <w:sz w:val="24"/>
        </w:rPr>
      </w:pPr>
      <w:r>
        <w:rPr>
          <w:rFonts w:ascii="宋体" w:hAnsi="宋体"/>
          <w:color w:val="000000"/>
          <w:sz w:val="24"/>
        </w:rPr>
        <w:t>2</w:t>
      </w:r>
      <w:r>
        <w:rPr>
          <w:rFonts w:hint="eastAsia" w:ascii="宋体" w:hAnsi="宋体"/>
          <w:color w:val="000000"/>
          <w:sz w:val="24"/>
        </w:rPr>
        <w:t>、</w:t>
      </w:r>
      <w:r>
        <w:rPr>
          <w:rFonts w:ascii="宋体" w:hAnsi="宋体"/>
          <w:color w:val="000000"/>
          <w:sz w:val="24"/>
        </w:rPr>
        <w:t xml:space="preserve"> </w:t>
      </w:r>
      <w:r>
        <w:rPr>
          <w:rFonts w:hint="eastAsia" w:ascii="宋体" w:hAnsi="宋体"/>
          <w:color w:val="000000"/>
          <w:sz w:val="24"/>
        </w:rPr>
        <w:t>成立以项目部总工程师为组长的创优攻关小组，由安质部根据工程规模、工程特点、环境特点制定创优规划和详细的创优措施，小组定期或不定期举行活动，分析质量、安全、工期、环境保护、成本等问题，查找原因，制定对策，不断提高工程质量；</w:t>
      </w:r>
      <w:r>
        <w:rPr>
          <w:rFonts w:ascii="宋体" w:hAnsi="宋体"/>
          <w:color w:val="000000"/>
          <w:sz w:val="24"/>
        </w:rPr>
        <w:t xml:space="preserve"> </w:t>
      </w:r>
      <w:r>
        <w:rPr>
          <w:rFonts w:hint="eastAsia" w:ascii="宋体" w:hAnsi="宋体"/>
          <w:color w:val="000000"/>
          <w:sz w:val="24"/>
        </w:rPr>
        <w:t>质检部门负责进行质量检查和评审。</w:t>
      </w:r>
    </w:p>
    <w:p>
      <w:pPr>
        <w:snapToGrid w:val="0"/>
        <w:spacing w:line="360" w:lineRule="auto"/>
        <w:ind w:firstLine="439" w:firstLineChars="183"/>
        <w:rPr>
          <w:rFonts w:ascii="宋体"/>
          <w:color w:val="000000"/>
          <w:sz w:val="24"/>
        </w:rPr>
      </w:pPr>
      <w:r>
        <w:rPr>
          <w:rFonts w:ascii="宋体" w:hAnsi="宋体"/>
          <w:color w:val="000000"/>
          <w:sz w:val="24"/>
        </w:rPr>
        <w:t>3</w:t>
      </w:r>
      <w:r>
        <w:rPr>
          <w:rFonts w:hint="eastAsia" w:ascii="宋体" w:hAnsi="宋体"/>
          <w:color w:val="000000"/>
          <w:sz w:val="24"/>
        </w:rPr>
        <w:t>、工区根据项目部创优规划及管辖工程特点成立相应的质量管理和创优工作领导小组，定期组织有关人员进行专业技术学习、质量教育、督促检查和质量评比。将</w:t>
      </w:r>
      <w:r>
        <w:rPr>
          <w:rFonts w:ascii="宋体" w:hAnsi="宋体"/>
          <w:color w:val="000000"/>
          <w:sz w:val="24"/>
        </w:rPr>
        <w:t>ISO9001</w:t>
      </w:r>
      <w:r>
        <w:rPr>
          <w:rFonts w:hint="eastAsia" w:ascii="宋体" w:hAnsi="宋体"/>
          <w:color w:val="000000"/>
          <w:sz w:val="24"/>
        </w:rPr>
        <w:t>质量体系标准作为指南，规范项目质量体系工作，提高质量控制和保证能力，使工程质量始终处于受控状态。</w:t>
      </w:r>
    </w:p>
    <w:bookmarkEnd w:id="79"/>
    <w:bookmarkEnd w:id="82"/>
    <w:bookmarkEnd w:id="83"/>
    <w:bookmarkEnd w:id="84"/>
    <w:bookmarkEnd w:id="85"/>
    <w:bookmarkEnd w:id="86"/>
    <w:p>
      <w:pPr>
        <w:spacing w:line="360" w:lineRule="auto"/>
        <w:jc w:val="center"/>
        <w:outlineLvl w:val="0"/>
        <w:rPr>
          <w:rFonts w:ascii="宋体"/>
          <w:sz w:val="24"/>
        </w:rPr>
      </w:pPr>
    </w:p>
    <w:p>
      <w:pPr>
        <w:spacing w:line="360" w:lineRule="auto"/>
        <w:jc w:val="center"/>
        <w:outlineLvl w:val="0"/>
        <w:rPr>
          <w:rFonts w:ascii="宋体"/>
          <w:sz w:val="24"/>
        </w:rPr>
      </w:pPr>
    </w:p>
    <w:p>
      <w:pPr>
        <w:spacing w:line="360" w:lineRule="auto"/>
        <w:jc w:val="center"/>
        <w:outlineLvl w:val="0"/>
        <w:rPr>
          <w:rFonts w:ascii="宋体"/>
          <w:sz w:val="24"/>
        </w:rPr>
      </w:pPr>
    </w:p>
    <w:p>
      <w:pPr>
        <w:spacing w:line="360" w:lineRule="auto"/>
        <w:jc w:val="center"/>
        <w:outlineLvl w:val="0"/>
        <w:rPr>
          <w:rFonts w:ascii="宋体"/>
          <w:sz w:val="24"/>
        </w:rPr>
      </w:pPr>
    </w:p>
    <w:p>
      <w:pPr>
        <w:spacing w:line="360" w:lineRule="auto"/>
        <w:jc w:val="center"/>
        <w:outlineLvl w:val="0"/>
        <w:rPr>
          <w:rFonts w:ascii="宋体"/>
          <w:sz w:val="24"/>
        </w:rPr>
      </w:pPr>
    </w:p>
    <w:p>
      <w:pPr>
        <w:spacing w:line="360" w:lineRule="auto"/>
        <w:jc w:val="center"/>
        <w:outlineLvl w:val="0"/>
        <w:rPr>
          <w:rFonts w:ascii="宋体"/>
          <w:sz w:val="24"/>
        </w:rPr>
      </w:pPr>
    </w:p>
    <w:p>
      <w:pPr>
        <w:spacing w:line="360" w:lineRule="auto"/>
        <w:jc w:val="center"/>
        <w:outlineLvl w:val="0"/>
        <w:rPr>
          <w:rFonts w:ascii="宋体"/>
          <w:sz w:val="24"/>
        </w:rPr>
      </w:pPr>
    </w:p>
    <w:p>
      <w:pPr>
        <w:spacing w:line="360" w:lineRule="auto"/>
        <w:jc w:val="center"/>
        <w:outlineLvl w:val="0"/>
        <w:rPr>
          <w:rFonts w:ascii="宋体"/>
          <w:sz w:val="24"/>
        </w:rPr>
      </w:pPr>
    </w:p>
    <w:p>
      <w:pPr>
        <w:spacing w:line="360" w:lineRule="auto"/>
        <w:jc w:val="center"/>
        <w:outlineLvl w:val="0"/>
        <w:rPr>
          <w:rFonts w:ascii="宋体"/>
          <w:sz w:val="24"/>
        </w:rPr>
      </w:pPr>
    </w:p>
    <w:p>
      <w:pPr>
        <w:spacing w:line="360" w:lineRule="auto"/>
        <w:jc w:val="center"/>
        <w:outlineLvl w:val="0"/>
        <w:rPr>
          <w:rFonts w:ascii="宋体"/>
          <w:sz w:val="24"/>
        </w:rPr>
      </w:pPr>
    </w:p>
    <w:p>
      <w:pPr>
        <w:spacing w:line="360" w:lineRule="auto"/>
        <w:jc w:val="center"/>
        <w:outlineLvl w:val="0"/>
        <w:rPr>
          <w:rFonts w:ascii="宋体"/>
          <w:sz w:val="24"/>
        </w:rPr>
      </w:pPr>
    </w:p>
    <w:p>
      <w:pPr>
        <w:spacing w:line="360" w:lineRule="auto"/>
        <w:jc w:val="center"/>
        <w:outlineLvl w:val="0"/>
        <w:rPr>
          <w:rFonts w:ascii="宋体"/>
          <w:sz w:val="24"/>
        </w:rPr>
      </w:pPr>
    </w:p>
    <w:p>
      <w:pPr>
        <w:spacing w:line="360" w:lineRule="auto"/>
        <w:jc w:val="center"/>
        <w:outlineLvl w:val="0"/>
        <w:rPr>
          <w:rFonts w:ascii="宋体"/>
          <w:sz w:val="24"/>
        </w:rPr>
      </w:pPr>
    </w:p>
    <w:p>
      <w:pPr>
        <w:spacing w:line="360" w:lineRule="auto"/>
        <w:jc w:val="center"/>
        <w:outlineLvl w:val="0"/>
        <w:rPr>
          <w:rFonts w:ascii="宋体"/>
          <w:sz w:val="24"/>
        </w:rPr>
      </w:pPr>
    </w:p>
    <w:p>
      <w:pPr>
        <w:spacing w:line="360" w:lineRule="auto"/>
        <w:jc w:val="center"/>
        <w:outlineLvl w:val="0"/>
        <w:rPr>
          <w:rFonts w:ascii="宋体"/>
          <w:sz w:val="24"/>
        </w:rPr>
      </w:pPr>
    </w:p>
    <w:p>
      <w:pPr>
        <w:spacing w:line="360" w:lineRule="auto"/>
        <w:jc w:val="center"/>
        <w:outlineLvl w:val="0"/>
        <w:rPr>
          <w:rFonts w:ascii="宋体"/>
          <w:sz w:val="24"/>
        </w:rPr>
      </w:pPr>
    </w:p>
    <w:p>
      <w:pPr>
        <w:spacing w:line="360" w:lineRule="auto"/>
        <w:jc w:val="center"/>
        <w:outlineLvl w:val="0"/>
        <w:rPr>
          <w:rFonts w:ascii="宋体"/>
          <w:sz w:val="24"/>
        </w:rPr>
      </w:pPr>
    </w:p>
    <w:p>
      <w:pPr>
        <w:spacing w:line="360" w:lineRule="auto"/>
        <w:jc w:val="center"/>
        <w:outlineLvl w:val="0"/>
        <w:rPr>
          <w:rFonts w:ascii="宋体"/>
          <w:sz w:val="24"/>
        </w:rPr>
      </w:pPr>
    </w:p>
    <w:p>
      <w:pPr>
        <w:spacing w:line="360" w:lineRule="auto"/>
        <w:jc w:val="center"/>
        <w:outlineLvl w:val="0"/>
        <w:rPr>
          <w:rFonts w:ascii="宋体"/>
          <w:sz w:val="24"/>
        </w:rPr>
      </w:pPr>
    </w:p>
    <w:p>
      <w:pPr>
        <w:spacing w:line="360" w:lineRule="auto"/>
        <w:jc w:val="center"/>
        <w:outlineLvl w:val="0"/>
        <w:rPr>
          <w:rFonts w:ascii="宋体"/>
          <w:sz w:val="24"/>
        </w:rPr>
      </w:pPr>
    </w:p>
    <w:p>
      <w:pPr>
        <w:spacing w:line="360" w:lineRule="auto"/>
        <w:jc w:val="center"/>
        <w:outlineLvl w:val="0"/>
        <w:rPr>
          <w:rFonts w:ascii="宋体"/>
          <w:sz w:val="24"/>
        </w:rPr>
      </w:pPr>
    </w:p>
    <w:p>
      <w:pPr>
        <w:spacing w:line="360" w:lineRule="auto"/>
        <w:jc w:val="center"/>
        <w:outlineLvl w:val="0"/>
        <w:rPr>
          <w:rFonts w:ascii="宋体"/>
          <w:sz w:val="24"/>
        </w:rPr>
      </w:pPr>
    </w:p>
    <w:p>
      <w:pPr>
        <w:spacing w:line="360" w:lineRule="auto"/>
        <w:jc w:val="center"/>
        <w:outlineLvl w:val="0"/>
        <w:rPr>
          <w:rFonts w:ascii="宋体"/>
          <w:sz w:val="24"/>
        </w:rPr>
      </w:pPr>
    </w:p>
    <w:p>
      <w:pPr>
        <w:spacing w:line="360" w:lineRule="auto"/>
        <w:jc w:val="center"/>
        <w:outlineLvl w:val="0"/>
        <w:rPr>
          <w:rFonts w:ascii="宋体"/>
          <w:b/>
          <w:bCs/>
          <w:sz w:val="32"/>
        </w:rPr>
      </w:pPr>
      <w:r>
        <w:rPr>
          <w:rFonts w:ascii="宋体"/>
          <w:sz w:val="24"/>
        </w:rPr>
        <w:br w:type="page"/>
      </w:r>
      <w:bookmarkStart w:id="109" w:name="_Toc350517645"/>
      <w:bookmarkStart w:id="110" w:name="_Toc353351904"/>
      <w:r>
        <w:rPr>
          <w:rFonts w:hint="eastAsia" w:ascii="宋体" w:hAnsi="宋体"/>
          <w:b/>
          <w:bCs/>
          <w:sz w:val="32"/>
        </w:rPr>
        <w:t>第九章</w:t>
      </w:r>
      <w:r>
        <w:rPr>
          <w:rFonts w:ascii="宋体" w:hAnsi="宋体"/>
          <w:b/>
          <w:bCs/>
          <w:sz w:val="32"/>
        </w:rPr>
        <w:t xml:space="preserve"> </w:t>
      </w:r>
      <w:r>
        <w:rPr>
          <w:rFonts w:hint="eastAsia" w:ascii="宋体" w:hAnsi="宋体"/>
          <w:b/>
          <w:bCs/>
          <w:sz w:val="32"/>
        </w:rPr>
        <w:t>安全施工措施</w:t>
      </w:r>
      <w:bookmarkEnd w:id="109"/>
      <w:bookmarkEnd w:id="110"/>
    </w:p>
    <w:p>
      <w:pPr>
        <w:spacing w:line="360" w:lineRule="auto"/>
        <w:outlineLvl w:val="1"/>
        <w:rPr>
          <w:rFonts w:ascii="宋体"/>
          <w:b/>
          <w:sz w:val="28"/>
          <w:szCs w:val="28"/>
        </w:rPr>
      </w:pPr>
      <w:bookmarkStart w:id="111" w:name="_Toc74748507"/>
      <w:bookmarkStart w:id="112" w:name="_Toc123547574"/>
      <w:bookmarkStart w:id="113" w:name="_Toc130043652"/>
      <w:bookmarkStart w:id="114" w:name="_Toc350517646"/>
      <w:bookmarkStart w:id="115" w:name="_Toc353351905"/>
      <w:r>
        <w:rPr>
          <w:rFonts w:ascii="宋体" w:hAnsi="宋体"/>
          <w:b/>
          <w:sz w:val="28"/>
          <w:szCs w:val="28"/>
        </w:rPr>
        <w:t>9.1</w:t>
      </w:r>
      <w:r>
        <w:rPr>
          <w:rFonts w:hint="eastAsia" w:ascii="宋体" w:hAnsi="宋体"/>
          <w:b/>
          <w:sz w:val="28"/>
          <w:szCs w:val="28"/>
        </w:rPr>
        <w:t>安全</w:t>
      </w:r>
      <w:bookmarkEnd w:id="111"/>
      <w:bookmarkEnd w:id="112"/>
      <w:bookmarkEnd w:id="113"/>
      <w:r>
        <w:rPr>
          <w:rFonts w:hint="eastAsia" w:ascii="宋体" w:hAnsi="宋体"/>
          <w:b/>
          <w:sz w:val="28"/>
          <w:szCs w:val="28"/>
        </w:rPr>
        <w:t>施工</w:t>
      </w:r>
      <w:bookmarkEnd w:id="114"/>
      <w:bookmarkEnd w:id="115"/>
    </w:p>
    <w:p>
      <w:pPr>
        <w:spacing w:line="360" w:lineRule="auto"/>
        <w:ind w:firstLine="482" w:firstLineChars="200"/>
        <w:outlineLvl w:val="2"/>
        <w:rPr>
          <w:rFonts w:ascii="宋体"/>
          <w:b/>
          <w:sz w:val="24"/>
        </w:rPr>
      </w:pPr>
      <w:bookmarkStart w:id="116" w:name="_Toc353351906"/>
      <w:r>
        <w:rPr>
          <w:rFonts w:ascii="宋体" w:hAnsi="宋体"/>
          <w:b/>
          <w:sz w:val="24"/>
        </w:rPr>
        <w:t>9.1.1</w:t>
      </w:r>
      <w:r>
        <w:rPr>
          <w:rFonts w:hint="eastAsia" w:ascii="宋体" w:hAnsi="宋体"/>
          <w:b/>
          <w:sz w:val="24"/>
        </w:rPr>
        <w:t>安全目标</w:t>
      </w:r>
      <w:bookmarkEnd w:id="116"/>
    </w:p>
    <w:p>
      <w:pPr>
        <w:spacing w:line="360" w:lineRule="auto"/>
        <w:ind w:firstLine="480" w:firstLineChars="200"/>
        <w:rPr>
          <w:rFonts w:ascii="宋体"/>
          <w:sz w:val="24"/>
        </w:rPr>
      </w:pPr>
      <w:r>
        <w:rPr>
          <w:rFonts w:ascii="宋体" w:hAnsi="宋体"/>
          <w:sz w:val="24"/>
        </w:rPr>
        <w:t>1</w:t>
      </w:r>
      <w:r>
        <w:rPr>
          <w:rFonts w:hint="eastAsia" w:ascii="宋体" w:hAnsi="宋体"/>
          <w:sz w:val="24"/>
        </w:rPr>
        <w:t>、认真贯彻“安全第一，预防为主”的方针，严格遵守一切规章制度，严格管理，严守职责，切实抓好安全生产工作。</w:t>
      </w:r>
    </w:p>
    <w:p>
      <w:pPr>
        <w:spacing w:line="360" w:lineRule="auto"/>
        <w:ind w:firstLine="480" w:firstLineChars="200"/>
        <w:rPr>
          <w:rFonts w:ascii="宋体"/>
          <w:sz w:val="24"/>
        </w:rPr>
      </w:pPr>
      <w:r>
        <w:rPr>
          <w:rFonts w:ascii="宋体" w:hAnsi="宋体"/>
          <w:sz w:val="24"/>
        </w:rPr>
        <w:t>2</w:t>
      </w:r>
      <w:r>
        <w:rPr>
          <w:rFonts w:hint="eastAsia" w:ascii="宋体" w:hAnsi="宋体"/>
          <w:sz w:val="24"/>
        </w:rPr>
        <w:t>、本项目安全目标确定为“三无、一杜绝、一创建”，即无重伤残废事故，无海损事故；无火灾事故；杜绝重大伤亡事故；创建安全文明工地。</w:t>
      </w:r>
    </w:p>
    <w:p>
      <w:pPr>
        <w:spacing w:line="360" w:lineRule="auto"/>
        <w:ind w:firstLine="480" w:firstLineChars="200"/>
        <w:rPr>
          <w:rFonts w:ascii="宋体"/>
          <w:sz w:val="24"/>
        </w:rPr>
      </w:pPr>
      <w:r>
        <w:rPr>
          <w:rFonts w:ascii="宋体" w:hAnsi="宋体"/>
          <w:sz w:val="24"/>
        </w:rPr>
        <w:t>3</w:t>
      </w:r>
      <w:r>
        <w:rPr>
          <w:rFonts w:hint="eastAsia" w:ascii="宋体" w:hAnsi="宋体"/>
          <w:sz w:val="24"/>
        </w:rPr>
        <w:t>、根据本工程特点，安全防范重点有以下几个方面：</w:t>
      </w:r>
    </w:p>
    <w:p>
      <w:pPr>
        <w:spacing w:line="360" w:lineRule="auto"/>
        <w:ind w:firstLine="480" w:firstLineChars="200"/>
        <w:rPr>
          <w:rFonts w:ascii="宋体"/>
          <w:sz w:val="24"/>
        </w:rPr>
      </w:pPr>
      <w:r>
        <w:rPr>
          <w:rFonts w:hint="eastAsia" w:ascii="宋体" w:hAnsi="宋体"/>
          <w:sz w:val="24"/>
        </w:rPr>
        <w:t>防起重伤害事故；防触电事故；防机械伤害事故；防火灾事故；防交通事故；</w:t>
      </w:r>
      <w:r>
        <w:rPr>
          <w:rFonts w:ascii="宋体" w:hAnsi="宋体"/>
          <w:sz w:val="24"/>
        </w:rPr>
        <w:t xml:space="preserve"> </w:t>
      </w:r>
    </w:p>
    <w:p>
      <w:pPr>
        <w:spacing w:line="360" w:lineRule="auto"/>
        <w:ind w:firstLine="482" w:firstLineChars="200"/>
        <w:outlineLvl w:val="2"/>
        <w:rPr>
          <w:rFonts w:ascii="宋体"/>
          <w:b/>
          <w:sz w:val="24"/>
        </w:rPr>
      </w:pPr>
      <w:bookmarkStart w:id="117" w:name="_Toc74748508"/>
      <w:bookmarkStart w:id="118" w:name="_Toc123547575"/>
      <w:bookmarkStart w:id="119" w:name="_Toc130043653"/>
      <w:bookmarkStart w:id="120" w:name="_Toc353351907"/>
      <w:r>
        <w:rPr>
          <w:rFonts w:ascii="宋体" w:hAnsi="宋体"/>
          <w:b/>
          <w:sz w:val="24"/>
        </w:rPr>
        <w:t>9.1.2</w:t>
      </w:r>
      <w:r>
        <w:rPr>
          <w:rFonts w:hint="eastAsia" w:ascii="宋体" w:hAnsi="宋体"/>
          <w:b/>
          <w:sz w:val="24"/>
        </w:rPr>
        <w:t>安全保证体系</w:t>
      </w:r>
      <w:bookmarkEnd w:id="117"/>
      <w:bookmarkEnd w:id="118"/>
      <w:bookmarkEnd w:id="119"/>
      <w:bookmarkEnd w:id="120"/>
    </w:p>
    <w:p>
      <w:pPr>
        <w:spacing w:line="360" w:lineRule="auto"/>
        <w:ind w:firstLine="480" w:firstLineChars="200"/>
        <w:rPr>
          <w:rFonts w:ascii="宋体"/>
          <w:sz w:val="24"/>
        </w:rPr>
      </w:pPr>
      <w:r>
        <w:rPr>
          <w:rFonts w:hint="eastAsia" w:ascii="宋体" w:hAnsi="宋体"/>
          <w:sz w:val="24"/>
        </w:rPr>
        <w:t>项目部在工程施工前按《房建工程施工安全技术规程》建立安全生产保证体系，认真地编制安全生产保证计划和各项施工组织设计，并严格按保证计划和专项施组的要求进行管理、实施。</w:t>
      </w:r>
    </w:p>
    <w:p>
      <w:pPr>
        <w:spacing w:line="360" w:lineRule="auto"/>
        <w:ind w:firstLine="482" w:firstLineChars="200"/>
        <w:outlineLvl w:val="2"/>
        <w:rPr>
          <w:rFonts w:ascii="宋体"/>
          <w:b/>
          <w:sz w:val="24"/>
        </w:rPr>
      </w:pPr>
      <w:bookmarkStart w:id="121" w:name="_Toc353351908"/>
      <w:r>
        <w:rPr>
          <w:rFonts w:ascii="宋体" w:hAnsi="宋体"/>
          <w:b/>
          <w:sz w:val="24"/>
        </w:rPr>
        <w:t>9.1.3</w:t>
      </w:r>
      <w:r>
        <w:rPr>
          <w:rFonts w:hint="eastAsia" w:ascii="宋体" w:hAnsi="宋体"/>
          <w:b/>
          <w:sz w:val="24"/>
        </w:rPr>
        <w:t>安全保证措施</w:t>
      </w:r>
      <w:bookmarkEnd w:id="121"/>
    </w:p>
    <w:p>
      <w:pPr>
        <w:autoSpaceDE w:val="0"/>
        <w:autoSpaceDN w:val="0"/>
        <w:adjustRightInd w:val="0"/>
        <w:snapToGrid w:val="0"/>
        <w:spacing w:line="360" w:lineRule="auto"/>
        <w:ind w:left="359" w:leftChars="114" w:hanging="120" w:hangingChars="50"/>
        <w:jc w:val="left"/>
        <w:rPr>
          <w:rFonts w:ascii="宋体"/>
          <w:color w:val="000000"/>
          <w:kern w:val="0"/>
          <w:sz w:val="24"/>
        </w:rPr>
      </w:pPr>
      <w:bookmarkStart w:id="122" w:name="_Toc17387163"/>
      <w:bookmarkStart w:id="123" w:name="_Toc37908864"/>
      <w:bookmarkStart w:id="124" w:name="_Toc37479788"/>
      <w:bookmarkStart w:id="125" w:name="_Toc17388692"/>
      <w:bookmarkStart w:id="126" w:name="_Toc66028528"/>
      <w:bookmarkStart w:id="127" w:name="_Toc74748041"/>
      <w:bookmarkStart w:id="128" w:name="_Toc74748544"/>
      <w:bookmarkStart w:id="129" w:name="_Toc130043678"/>
      <w:bookmarkStart w:id="130" w:name="_Toc123547609"/>
      <w:bookmarkStart w:id="131" w:name="_Toc79502524"/>
      <w:r>
        <w:rPr>
          <w:rFonts w:hint="eastAsia" w:ascii="宋体" w:hAnsi="宋体"/>
          <w:color w:val="000000"/>
          <w:kern w:val="0"/>
          <w:sz w:val="24"/>
        </w:rPr>
        <w:t>（</w:t>
      </w:r>
      <w:r>
        <w:rPr>
          <w:rFonts w:ascii="宋体" w:hAnsi="宋体"/>
          <w:color w:val="000000"/>
          <w:kern w:val="0"/>
          <w:sz w:val="24"/>
        </w:rPr>
        <w:t>1</w:t>
      </w:r>
      <w:r>
        <w:rPr>
          <w:rFonts w:hint="eastAsia" w:ascii="宋体" w:hAnsi="宋体"/>
          <w:color w:val="000000"/>
          <w:kern w:val="0"/>
          <w:sz w:val="24"/>
        </w:rPr>
        <w:t>）落实安全生产责任制，实施责任管理。接受当地政府、业主和工程师对安全工作的管理与指导。</w:t>
      </w:r>
    </w:p>
    <w:p>
      <w:pPr>
        <w:autoSpaceDE w:val="0"/>
        <w:autoSpaceDN w:val="0"/>
        <w:adjustRightInd w:val="0"/>
        <w:snapToGrid w:val="0"/>
        <w:spacing w:line="360" w:lineRule="auto"/>
        <w:ind w:left="359" w:leftChars="114" w:hanging="120" w:hangingChars="50"/>
        <w:jc w:val="left"/>
        <w:rPr>
          <w:rFonts w:ascii="宋体"/>
          <w:color w:val="000000"/>
          <w:kern w:val="0"/>
          <w:sz w:val="24"/>
        </w:rPr>
      </w:pPr>
      <w:r>
        <w:rPr>
          <w:rFonts w:hint="eastAsia" w:ascii="宋体" w:hAnsi="宋体"/>
          <w:color w:val="000000"/>
          <w:kern w:val="0"/>
          <w:sz w:val="24"/>
        </w:rPr>
        <w:t>（</w:t>
      </w:r>
      <w:r>
        <w:rPr>
          <w:rFonts w:ascii="宋体" w:hAnsi="宋体"/>
          <w:color w:val="000000"/>
          <w:kern w:val="0"/>
          <w:sz w:val="24"/>
        </w:rPr>
        <w:t>2</w:t>
      </w:r>
      <w:r>
        <w:rPr>
          <w:rFonts w:hint="eastAsia" w:ascii="宋体" w:hAnsi="宋体"/>
          <w:color w:val="000000"/>
          <w:kern w:val="0"/>
          <w:sz w:val="24"/>
        </w:rPr>
        <w:t>）建立、完善以项目经理为首的安全生产领导组织，有组织、有领导的开展管理活动，项目经理是施工项目安全的第一责任人。</w:t>
      </w:r>
    </w:p>
    <w:p>
      <w:pPr>
        <w:autoSpaceDE w:val="0"/>
        <w:autoSpaceDN w:val="0"/>
        <w:adjustRightInd w:val="0"/>
        <w:snapToGrid w:val="0"/>
        <w:spacing w:line="360" w:lineRule="auto"/>
        <w:ind w:left="359" w:leftChars="114" w:hanging="120" w:hangingChars="50"/>
        <w:jc w:val="left"/>
        <w:rPr>
          <w:rFonts w:ascii="宋体"/>
          <w:color w:val="000000"/>
          <w:kern w:val="0"/>
          <w:sz w:val="24"/>
        </w:rPr>
      </w:pPr>
      <w:r>
        <w:rPr>
          <w:rFonts w:hint="eastAsia" w:ascii="宋体" w:hAnsi="宋体"/>
          <w:color w:val="000000"/>
          <w:kern w:val="0"/>
          <w:sz w:val="24"/>
        </w:rPr>
        <w:t>（</w:t>
      </w:r>
      <w:r>
        <w:rPr>
          <w:rFonts w:ascii="宋体" w:hAnsi="宋体"/>
          <w:color w:val="000000"/>
          <w:kern w:val="0"/>
          <w:sz w:val="24"/>
        </w:rPr>
        <w:t>3</w:t>
      </w:r>
      <w:r>
        <w:rPr>
          <w:rFonts w:hint="eastAsia" w:ascii="宋体" w:hAnsi="宋体"/>
          <w:color w:val="000000"/>
          <w:kern w:val="0"/>
          <w:sz w:val="24"/>
        </w:rPr>
        <w:t>）建立各级人员安全生产责任制度，明确各级人员的安全责任，抓制度落实，抓责任落实，定期检查安全责任落实情况，严格奖惩制度。</w:t>
      </w:r>
    </w:p>
    <w:p>
      <w:pPr>
        <w:autoSpaceDE w:val="0"/>
        <w:autoSpaceDN w:val="0"/>
        <w:adjustRightInd w:val="0"/>
        <w:snapToGrid w:val="0"/>
        <w:spacing w:line="360" w:lineRule="auto"/>
        <w:ind w:left="359" w:leftChars="114" w:hanging="120" w:hangingChars="50"/>
        <w:jc w:val="left"/>
        <w:rPr>
          <w:rFonts w:ascii="宋体"/>
          <w:color w:val="000000"/>
          <w:kern w:val="0"/>
          <w:sz w:val="24"/>
        </w:rPr>
      </w:pPr>
      <w:r>
        <w:rPr>
          <w:rFonts w:hint="eastAsia" w:ascii="宋体" w:hAnsi="宋体"/>
          <w:color w:val="000000"/>
          <w:kern w:val="0"/>
          <w:sz w:val="24"/>
        </w:rPr>
        <w:t>（</w:t>
      </w:r>
      <w:r>
        <w:rPr>
          <w:rFonts w:ascii="宋体" w:hAnsi="宋体"/>
          <w:color w:val="000000"/>
          <w:kern w:val="0"/>
          <w:sz w:val="24"/>
        </w:rPr>
        <w:t>4</w:t>
      </w:r>
      <w:r>
        <w:rPr>
          <w:rFonts w:hint="eastAsia" w:ascii="宋体" w:hAnsi="宋体"/>
          <w:color w:val="000000"/>
          <w:kern w:val="0"/>
          <w:sz w:val="24"/>
        </w:rPr>
        <w:t>）各职能部门、人员，在各自业务范围内，对实施安全生产的要求负责。</w:t>
      </w:r>
    </w:p>
    <w:p>
      <w:pPr>
        <w:autoSpaceDE w:val="0"/>
        <w:autoSpaceDN w:val="0"/>
        <w:adjustRightInd w:val="0"/>
        <w:snapToGrid w:val="0"/>
        <w:spacing w:line="360" w:lineRule="auto"/>
        <w:ind w:left="359" w:leftChars="114" w:hanging="120" w:hangingChars="50"/>
        <w:jc w:val="left"/>
        <w:rPr>
          <w:rFonts w:ascii="宋体"/>
          <w:color w:val="000000"/>
          <w:kern w:val="0"/>
          <w:sz w:val="24"/>
        </w:rPr>
      </w:pPr>
      <w:r>
        <w:rPr>
          <w:rFonts w:hint="eastAsia" w:ascii="宋体" w:hAnsi="宋体"/>
          <w:color w:val="000000"/>
          <w:kern w:val="0"/>
          <w:sz w:val="24"/>
        </w:rPr>
        <w:t>（</w:t>
      </w:r>
      <w:r>
        <w:rPr>
          <w:rFonts w:ascii="宋体" w:hAnsi="宋体"/>
          <w:color w:val="000000"/>
          <w:kern w:val="0"/>
          <w:sz w:val="24"/>
        </w:rPr>
        <w:t>5</w:t>
      </w:r>
      <w:r>
        <w:rPr>
          <w:rFonts w:hint="eastAsia" w:ascii="宋体" w:hAnsi="宋体"/>
          <w:color w:val="000000"/>
          <w:kern w:val="0"/>
          <w:sz w:val="24"/>
        </w:rPr>
        <w:t>）实施全员承担安全生产责任，建立安全生产责任制，做到一环不漏，各职能部门，人员的安全责任做到横向到边，人人负责。</w:t>
      </w:r>
    </w:p>
    <w:p>
      <w:pPr>
        <w:autoSpaceDE w:val="0"/>
        <w:autoSpaceDN w:val="0"/>
        <w:adjustRightInd w:val="0"/>
        <w:snapToGrid w:val="0"/>
        <w:spacing w:line="360" w:lineRule="auto"/>
        <w:ind w:left="359" w:leftChars="114" w:hanging="120" w:hangingChars="50"/>
        <w:jc w:val="left"/>
        <w:rPr>
          <w:rFonts w:ascii="宋体"/>
          <w:color w:val="000000"/>
          <w:kern w:val="0"/>
          <w:sz w:val="24"/>
        </w:rPr>
      </w:pPr>
      <w:r>
        <w:rPr>
          <w:rFonts w:hint="eastAsia" w:ascii="宋体" w:hAnsi="宋体"/>
          <w:color w:val="000000"/>
          <w:kern w:val="0"/>
          <w:sz w:val="24"/>
        </w:rPr>
        <w:t>（</w:t>
      </w:r>
      <w:r>
        <w:rPr>
          <w:rFonts w:ascii="宋体" w:hAnsi="宋体"/>
          <w:color w:val="000000"/>
          <w:kern w:val="0"/>
          <w:sz w:val="24"/>
        </w:rPr>
        <w:t>6</w:t>
      </w:r>
      <w:r>
        <w:rPr>
          <w:rFonts w:hint="eastAsia" w:ascii="宋体" w:hAnsi="宋体"/>
          <w:color w:val="000000"/>
          <w:kern w:val="0"/>
          <w:sz w:val="24"/>
        </w:rPr>
        <w:t>）一切从事生产管理与操作人员，依照其从事的生产内容分别通过企业及施工项目经理部的安全检查，取得安全操作认可证，持证上岗。</w:t>
      </w:r>
    </w:p>
    <w:p>
      <w:pPr>
        <w:autoSpaceDE w:val="0"/>
        <w:autoSpaceDN w:val="0"/>
        <w:adjustRightInd w:val="0"/>
        <w:snapToGrid w:val="0"/>
        <w:spacing w:line="360" w:lineRule="auto"/>
        <w:ind w:left="359" w:leftChars="114" w:hanging="120" w:hangingChars="50"/>
        <w:jc w:val="left"/>
        <w:rPr>
          <w:rFonts w:ascii="宋体"/>
          <w:color w:val="000000"/>
          <w:kern w:val="0"/>
          <w:sz w:val="24"/>
        </w:rPr>
      </w:pPr>
      <w:r>
        <w:rPr>
          <w:rFonts w:hint="eastAsia" w:ascii="宋体" w:hAnsi="宋体"/>
          <w:color w:val="000000"/>
          <w:kern w:val="0"/>
          <w:sz w:val="24"/>
        </w:rPr>
        <w:t>（</w:t>
      </w:r>
      <w:r>
        <w:rPr>
          <w:rFonts w:ascii="宋体" w:hAnsi="宋体"/>
          <w:color w:val="000000"/>
          <w:kern w:val="0"/>
          <w:sz w:val="24"/>
        </w:rPr>
        <w:t>7</w:t>
      </w:r>
      <w:r>
        <w:rPr>
          <w:rFonts w:hint="eastAsia" w:ascii="宋体" w:hAnsi="宋体"/>
          <w:color w:val="000000"/>
          <w:kern w:val="0"/>
          <w:sz w:val="24"/>
        </w:rPr>
        <w:t>）特种作业人员，除经企业安全审查，还需按规定参加安全操作考核，取得监察部门核发的《安全操作合格证》，坚持持证上岗。</w:t>
      </w:r>
    </w:p>
    <w:p>
      <w:pPr>
        <w:autoSpaceDE w:val="0"/>
        <w:autoSpaceDN w:val="0"/>
        <w:adjustRightInd w:val="0"/>
        <w:snapToGrid w:val="0"/>
        <w:spacing w:line="360" w:lineRule="auto"/>
        <w:ind w:left="359" w:leftChars="114" w:hanging="120" w:hangingChars="50"/>
        <w:jc w:val="left"/>
        <w:rPr>
          <w:rFonts w:ascii="宋体"/>
          <w:color w:val="000000"/>
          <w:kern w:val="0"/>
          <w:sz w:val="24"/>
        </w:rPr>
      </w:pPr>
      <w:r>
        <w:rPr>
          <w:rFonts w:hint="eastAsia" w:ascii="宋体" w:hAnsi="宋体"/>
          <w:color w:val="000000"/>
          <w:kern w:val="0"/>
          <w:sz w:val="24"/>
        </w:rPr>
        <w:t>（</w:t>
      </w:r>
      <w:r>
        <w:rPr>
          <w:rFonts w:ascii="宋体" w:hAnsi="宋体"/>
          <w:color w:val="000000"/>
          <w:kern w:val="0"/>
          <w:sz w:val="24"/>
        </w:rPr>
        <w:t>8</w:t>
      </w:r>
      <w:r>
        <w:rPr>
          <w:rFonts w:hint="eastAsia" w:ascii="宋体" w:hAnsi="宋体"/>
          <w:color w:val="000000"/>
          <w:kern w:val="0"/>
          <w:sz w:val="24"/>
        </w:rPr>
        <w:t>）一切管理、操作人员均需与施工项目部签订安全协议，向施工项目做出安全保证。</w:t>
      </w:r>
    </w:p>
    <w:p>
      <w:pPr>
        <w:autoSpaceDE w:val="0"/>
        <w:autoSpaceDN w:val="0"/>
        <w:adjustRightInd w:val="0"/>
        <w:snapToGrid w:val="0"/>
        <w:spacing w:line="360" w:lineRule="auto"/>
        <w:ind w:left="359" w:leftChars="114" w:hanging="120" w:hangingChars="50"/>
        <w:jc w:val="left"/>
        <w:rPr>
          <w:rFonts w:ascii="宋体"/>
          <w:color w:val="000000"/>
          <w:kern w:val="0"/>
          <w:sz w:val="24"/>
        </w:rPr>
      </w:pPr>
      <w:r>
        <w:rPr>
          <w:rFonts w:hint="eastAsia" w:ascii="宋体" w:hAnsi="宋体"/>
          <w:color w:val="000000"/>
          <w:kern w:val="0"/>
          <w:sz w:val="24"/>
        </w:rPr>
        <w:t>（</w:t>
      </w:r>
      <w:r>
        <w:rPr>
          <w:rFonts w:ascii="宋体" w:hAnsi="宋体"/>
          <w:color w:val="000000"/>
          <w:kern w:val="0"/>
          <w:sz w:val="24"/>
        </w:rPr>
        <w:t>9</w:t>
      </w:r>
      <w:r>
        <w:rPr>
          <w:rFonts w:hint="eastAsia" w:ascii="宋体" w:hAnsi="宋体"/>
          <w:color w:val="000000"/>
          <w:kern w:val="0"/>
          <w:sz w:val="24"/>
        </w:rPr>
        <w:t>）安全生产责任落实情况的检查，应认真、详细的记录。开展安全教育与培训，增强人的安全生产意识，提高安全知识，有效防止人的安全行为，减少人的失误。</w:t>
      </w:r>
    </w:p>
    <w:p>
      <w:pPr>
        <w:autoSpaceDE w:val="0"/>
        <w:autoSpaceDN w:val="0"/>
        <w:adjustRightInd w:val="0"/>
        <w:snapToGrid w:val="0"/>
        <w:spacing w:line="360" w:lineRule="auto"/>
        <w:ind w:left="359" w:leftChars="114" w:hanging="120" w:hangingChars="50"/>
        <w:jc w:val="left"/>
        <w:rPr>
          <w:rFonts w:ascii="宋体"/>
          <w:color w:val="000000"/>
          <w:kern w:val="0"/>
          <w:sz w:val="24"/>
        </w:rPr>
      </w:pPr>
      <w:r>
        <w:rPr>
          <w:rFonts w:hint="eastAsia" w:ascii="宋体" w:hAnsi="宋体"/>
          <w:color w:val="000000"/>
          <w:kern w:val="0"/>
          <w:sz w:val="24"/>
        </w:rPr>
        <w:t>（</w:t>
      </w:r>
      <w:r>
        <w:rPr>
          <w:rFonts w:ascii="宋体" w:hAnsi="宋体"/>
          <w:color w:val="000000"/>
          <w:kern w:val="0"/>
          <w:sz w:val="24"/>
        </w:rPr>
        <w:t>10</w:t>
      </w:r>
      <w:r>
        <w:rPr>
          <w:rFonts w:hint="eastAsia" w:ascii="宋体" w:hAnsi="宋体"/>
          <w:color w:val="000000"/>
          <w:kern w:val="0"/>
          <w:sz w:val="24"/>
        </w:rPr>
        <w:t>）适时开展普遍安全检查、专业安全检查和季节性安全检查。安全检查以自检形成为主，上级监督检查为辅的原则，检查的重点以劳动条件，生产设备，现场管理，安全卫生设施及生产人员的行为为主，发现危及人的安全因素时，必须果断的消除。</w:t>
      </w:r>
    </w:p>
    <w:p>
      <w:pPr>
        <w:autoSpaceDE w:val="0"/>
        <w:autoSpaceDN w:val="0"/>
        <w:adjustRightInd w:val="0"/>
        <w:snapToGrid w:val="0"/>
        <w:spacing w:line="360" w:lineRule="auto"/>
        <w:ind w:left="359" w:leftChars="114" w:hanging="120" w:hangingChars="50"/>
        <w:jc w:val="left"/>
        <w:rPr>
          <w:rFonts w:ascii="宋体"/>
          <w:color w:val="000000"/>
          <w:kern w:val="0"/>
          <w:sz w:val="24"/>
        </w:rPr>
      </w:pPr>
      <w:r>
        <w:rPr>
          <w:rFonts w:hint="eastAsia" w:ascii="宋体" w:hAnsi="宋体"/>
          <w:color w:val="000000"/>
          <w:kern w:val="0"/>
          <w:sz w:val="24"/>
        </w:rPr>
        <w:t>（</w:t>
      </w:r>
      <w:r>
        <w:rPr>
          <w:rFonts w:ascii="宋体" w:hAnsi="宋体"/>
          <w:color w:val="000000"/>
          <w:kern w:val="0"/>
          <w:sz w:val="24"/>
        </w:rPr>
        <w:t>11</w:t>
      </w:r>
      <w:r>
        <w:rPr>
          <w:rFonts w:hint="eastAsia" w:ascii="宋体" w:hAnsi="宋体"/>
          <w:color w:val="000000"/>
          <w:kern w:val="0"/>
          <w:sz w:val="24"/>
        </w:rPr>
        <w:t>）安全生产管理要坚持“五同时”。做到工程技术与安全技术结合为统一体，作业按标准化实施，安全控制要有力，控制要到位，存在差距要及时消除。</w:t>
      </w:r>
    </w:p>
    <w:p>
      <w:pPr>
        <w:autoSpaceDE w:val="0"/>
        <w:autoSpaceDN w:val="0"/>
        <w:adjustRightInd w:val="0"/>
        <w:snapToGrid w:val="0"/>
        <w:spacing w:line="360" w:lineRule="auto"/>
        <w:ind w:left="359" w:leftChars="114" w:hanging="120" w:hangingChars="50"/>
        <w:jc w:val="left"/>
        <w:rPr>
          <w:rFonts w:ascii="宋体"/>
          <w:color w:val="000000"/>
          <w:kern w:val="0"/>
          <w:sz w:val="24"/>
        </w:rPr>
      </w:pPr>
      <w:r>
        <w:rPr>
          <w:rFonts w:hint="eastAsia" w:ascii="宋体" w:hAnsi="宋体"/>
          <w:color w:val="000000"/>
          <w:kern w:val="0"/>
          <w:sz w:val="24"/>
        </w:rPr>
        <w:t>（</w:t>
      </w:r>
      <w:r>
        <w:rPr>
          <w:rFonts w:ascii="宋体" w:hAnsi="宋体"/>
          <w:color w:val="000000"/>
          <w:kern w:val="0"/>
          <w:sz w:val="24"/>
        </w:rPr>
        <w:t>12</w:t>
      </w:r>
      <w:r>
        <w:rPr>
          <w:rFonts w:hint="eastAsia" w:ascii="宋体" w:hAnsi="宋体"/>
          <w:color w:val="000000"/>
          <w:kern w:val="0"/>
          <w:sz w:val="24"/>
        </w:rPr>
        <w:t>）在施工路段设置明显的交通安全标志或安全牌，在转弯处、陡坡等地段设置警戒标志，确保现场的施工交通安全。施工现场的危险区域设立危险警示标志。</w:t>
      </w:r>
    </w:p>
    <w:p>
      <w:pPr>
        <w:autoSpaceDE w:val="0"/>
        <w:autoSpaceDN w:val="0"/>
        <w:adjustRightInd w:val="0"/>
        <w:snapToGrid w:val="0"/>
        <w:spacing w:line="360" w:lineRule="auto"/>
        <w:ind w:left="359" w:leftChars="114" w:hanging="120" w:hangingChars="50"/>
        <w:jc w:val="left"/>
        <w:rPr>
          <w:rFonts w:ascii="宋体"/>
          <w:color w:val="000000"/>
          <w:kern w:val="0"/>
          <w:sz w:val="24"/>
        </w:rPr>
      </w:pPr>
      <w:r>
        <w:rPr>
          <w:rFonts w:hint="eastAsia" w:ascii="宋体" w:hAnsi="宋体"/>
          <w:color w:val="000000"/>
          <w:kern w:val="0"/>
          <w:sz w:val="24"/>
        </w:rPr>
        <w:t>（</w:t>
      </w:r>
      <w:r>
        <w:rPr>
          <w:rFonts w:ascii="宋体" w:hAnsi="宋体"/>
          <w:color w:val="000000"/>
          <w:kern w:val="0"/>
          <w:sz w:val="24"/>
        </w:rPr>
        <w:t>13</w:t>
      </w:r>
      <w:r>
        <w:rPr>
          <w:rFonts w:hint="eastAsia" w:ascii="宋体" w:hAnsi="宋体"/>
          <w:color w:val="000000"/>
          <w:kern w:val="0"/>
          <w:sz w:val="24"/>
        </w:rPr>
        <w:t>）施工现场的用电线路、用电设施的安装和使用要符合安装规范和安全操作规程，并按照施工布置进行架设，禁止任意拉线接电。施工现场设置有保证施工安全要求的夜间照明，危险潮湿场所照明以及手持照明灯具，采用符合安全要求的电压。高低压架空线路采用绝缘导线时，其架空高度不得低于</w:t>
      </w:r>
      <w:r>
        <w:rPr>
          <w:rFonts w:ascii="宋体" w:hAnsi="宋体"/>
          <w:color w:val="000000"/>
          <w:kern w:val="0"/>
          <w:sz w:val="24"/>
        </w:rPr>
        <w:t>3m</w:t>
      </w:r>
      <w:r>
        <w:rPr>
          <w:rFonts w:hint="eastAsia" w:ascii="宋体" w:hAnsi="宋体"/>
          <w:color w:val="000000"/>
          <w:kern w:val="0"/>
          <w:sz w:val="24"/>
        </w:rPr>
        <w:t>，跨越主要道路、线路与路面中心垂直高度不得小于</w:t>
      </w:r>
      <w:r>
        <w:rPr>
          <w:rFonts w:ascii="宋体" w:hAnsi="宋体"/>
          <w:color w:val="000000"/>
          <w:kern w:val="0"/>
          <w:sz w:val="24"/>
        </w:rPr>
        <w:t>6m</w:t>
      </w:r>
      <w:r>
        <w:rPr>
          <w:rFonts w:hint="eastAsia" w:ascii="宋体" w:hAnsi="宋体"/>
          <w:color w:val="000000"/>
          <w:kern w:val="0"/>
          <w:sz w:val="24"/>
        </w:rPr>
        <w:t>。</w:t>
      </w:r>
    </w:p>
    <w:p>
      <w:pPr>
        <w:autoSpaceDE w:val="0"/>
        <w:autoSpaceDN w:val="0"/>
        <w:adjustRightInd w:val="0"/>
        <w:snapToGrid w:val="0"/>
        <w:spacing w:line="360" w:lineRule="auto"/>
        <w:ind w:left="315" w:hanging="315" w:hangingChars="150"/>
        <w:jc w:val="left"/>
        <w:rPr>
          <w:rFonts w:ascii="宋体"/>
          <w:color w:val="000000"/>
          <w:kern w:val="0"/>
          <w:sz w:val="24"/>
        </w:rPr>
      </w:pPr>
      <w:r>
        <w:pict>
          <v:shape id="图片 10" o:spid="_x0000_s1042" o:spt="75" type="#_x0000_t75" style="position:absolute;left:0pt;margin-left:313pt;margin-top:675pt;height:16pt;width:110pt;z-index:-1024;mso-width-relative:page;mso-height-relative:page;" filled="f" o:preferrelative="t" stroked="f" coordsize="21600,21600">
            <v:path/>
            <v:fill on="f" focussize="0,0"/>
            <v:stroke on="f" joinstyle="miter"/>
            <v:imagedata r:id="rId20" o:title=""/>
            <o:lock v:ext="edit" aspectratio="t"/>
            <w10:anchorlock/>
          </v:shape>
        </w:pict>
      </w:r>
      <w:r>
        <w:pict>
          <v:shape id="图片 8" o:spid="_x0000_s1043" o:spt="75" type="#_x0000_t75" style="position:absolute;left:0pt;margin-left:103pt;margin-top:396pt;height:16pt;width:113pt;z-index:-1024;mso-width-relative:page;mso-height-relative:page;" filled="f" o:preferrelative="t" stroked="f" coordsize="21600,21600">
            <v:path/>
            <v:fill on="f" focussize="0,0"/>
            <v:stroke on="f" joinstyle="miter"/>
            <v:imagedata r:id="rId20" o:title=""/>
            <o:lock v:ext="edit" aspectratio="t"/>
            <w10:anchorlock/>
          </v:shape>
        </w:pict>
      </w:r>
      <w:r>
        <w:pict>
          <v:shape id="图片 7" o:spid="_x0000_s1044" o:spt="75" type="#_x0000_t75" style="position:absolute;left:0pt;margin-left:57pt;margin-top:90pt;height:44pt;width:46pt;z-index:-1024;mso-width-relative:page;mso-height-relative:page;" filled="f" o:preferrelative="t" stroked="f" coordsize="21600,21600">
            <v:path/>
            <v:fill on="f" focussize="0,0"/>
            <v:stroke on="f" joinstyle="miter"/>
            <v:imagedata r:id="rId21" o:title=""/>
            <o:lock v:ext="edit" aspectratio="t"/>
            <w10:anchorlock/>
          </v:shape>
        </w:pict>
      </w:r>
      <w:r>
        <w:t xml:space="preserve">.  </w:t>
      </w:r>
      <w:r>
        <w:rPr>
          <w:rFonts w:hint="eastAsia" w:ascii="宋体" w:hAnsi="宋体"/>
          <w:color w:val="000000"/>
          <w:kern w:val="0"/>
          <w:sz w:val="24"/>
        </w:rPr>
        <w:t>（</w:t>
      </w:r>
      <w:r>
        <w:rPr>
          <w:rFonts w:ascii="宋体" w:hAnsi="宋体"/>
          <w:color w:val="000000"/>
          <w:kern w:val="0"/>
          <w:sz w:val="24"/>
        </w:rPr>
        <w:t>14</w:t>
      </w:r>
      <w:r>
        <w:rPr>
          <w:rFonts w:hint="eastAsia" w:ascii="宋体" w:hAnsi="宋体"/>
          <w:color w:val="000000"/>
          <w:kern w:val="0"/>
          <w:sz w:val="24"/>
        </w:rPr>
        <w:t>）严禁酒后作业，严禁非司机人员开车。</w:t>
      </w:r>
    </w:p>
    <w:p>
      <w:pPr>
        <w:autoSpaceDE w:val="0"/>
        <w:autoSpaceDN w:val="0"/>
        <w:adjustRightInd w:val="0"/>
        <w:snapToGrid w:val="0"/>
        <w:spacing w:line="360" w:lineRule="auto"/>
        <w:ind w:left="359" w:leftChars="114" w:hanging="120" w:hangingChars="50"/>
        <w:jc w:val="left"/>
        <w:rPr>
          <w:rFonts w:ascii="宋体"/>
          <w:color w:val="000000"/>
          <w:kern w:val="0"/>
          <w:sz w:val="24"/>
        </w:rPr>
      </w:pPr>
      <w:r>
        <w:rPr>
          <w:rFonts w:hint="eastAsia" w:ascii="宋体" w:hAnsi="宋体"/>
          <w:color w:val="000000"/>
          <w:kern w:val="0"/>
          <w:sz w:val="24"/>
        </w:rPr>
        <w:t>（</w:t>
      </w:r>
      <w:r>
        <w:rPr>
          <w:rFonts w:ascii="宋体" w:hAnsi="宋体"/>
          <w:color w:val="000000"/>
          <w:kern w:val="0"/>
          <w:sz w:val="24"/>
        </w:rPr>
        <w:t>15</w:t>
      </w:r>
      <w:r>
        <w:rPr>
          <w:rFonts w:hint="eastAsia" w:ascii="宋体" w:hAnsi="宋体"/>
          <w:color w:val="000000"/>
          <w:kern w:val="0"/>
          <w:sz w:val="24"/>
        </w:rPr>
        <w:t>）每天施工前要对机械设备进行安全检查，交接班要填写安全记录，如出现安全事故，应及时履行报告手续。；</w:t>
      </w:r>
    </w:p>
    <w:p>
      <w:pPr>
        <w:autoSpaceDE w:val="0"/>
        <w:autoSpaceDN w:val="0"/>
        <w:adjustRightInd w:val="0"/>
        <w:snapToGrid w:val="0"/>
        <w:spacing w:line="360" w:lineRule="auto"/>
        <w:ind w:left="239" w:leftChars="114"/>
        <w:jc w:val="left"/>
        <w:rPr>
          <w:rFonts w:ascii="宋体"/>
          <w:color w:val="000000"/>
          <w:kern w:val="0"/>
          <w:sz w:val="24"/>
        </w:rPr>
      </w:pPr>
      <w:r>
        <w:rPr>
          <w:rFonts w:hint="eastAsia" w:ascii="宋体" w:hAnsi="宋体"/>
          <w:color w:val="000000"/>
          <w:kern w:val="0"/>
          <w:sz w:val="24"/>
        </w:rPr>
        <w:t>（</w:t>
      </w:r>
      <w:r>
        <w:rPr>
          <w:rFonts w:ascii="宋体" w:hAnsi="宋体"/>
          <w:color w:val="000000"/>
          <w:kern w:val="0"/>
          <w:sz w:val="24"/>
        </w:rPr>
        <w:t>16</w:t>
      </w:r>
      <w:r>
        <w:rPr>
          <w:rFonts w:hint="eastAsia" w:ascii="宋体" w:hAnsi="宋体"/>
          <w:color w:val="000000"/>
          <w:kern w:val="0"/>
          <w:sz w:val="24"/>
        </w:rPr>
        <w:t>）选用的机械设备要有足够的安全保障，起重机械要有足够的安全系数。</w:t>
      </w:r>
    </w:p>
    <w:p>
      <w:pPr>
        <w:autoSpaceDE w:val="0"/>
        <w:autoSpaceDN w:val="0"/>
        <w:adjustRightInd w:val="0"/>
        <w:snapToGrid w:val="0"/>
        <w:spacing w:line="360" w:lineRule="auto"/>
        <w:ind w:left="359" w:leftChars="114" w:hanging="120" w:hangingChars="50"/>
        <w:jc w:val="left"/>
        <w:rPr>
          <w:rFonts w:ascii="宋体"/>
          <w:color w:val="000000"/>
          <w:kern w:val="0"/>
          <w:sz w:val="24"/>
        </w:rPr>
      </w:pPr>
      <w:r>
        <w:rPr>
          <w:rFonts w:hint="eastAsia" w:ascii="宋体" w:hAnsi="宋体"/>
          <w:color w:val="000000"/>
          <w:kern w:val="0"/>
          <w:sz w:val="24"/>
        </w:rPr>
        <w:t>（</w:t>
      </w:r>
      <w:r>
        <w:rPr>
          <w:rFonts w:ascii="宋体" w:hAnsi="宋体"/>
          <w:color w:val="000000"/>
          <w:kern w:val="0"/>
          <w:sz w:val="24"/>
        </w:rPr>
        <w:t>17</w:t>
      </w:r>
      <w:r>
        <w:rPr>
          <w:rFonts w:hint="eastAsia" w:ascii="宋体" w:hAnsi="宋体"/>
          <w:color w:val="000000"/>
          <w:kern w:val="0"/>
          <w:sz w:val="24"/>
        </w:rPr>
        <w:t>）严禁在禁烟、禁火区域抽烟动火。</w:t>
      </w:r>
      <w:bookmarkStart w:id="132" w:name="_Toc350517292"/>
      <w:bookmarkStart w:id="133" w:name="_Toc350517647"/>
    </w:p>
    <w:p>
      <w:pPr>
        <w:spacing w:line="360" w:lineRule="auto"/>
        <w:outlineLvl w:val="1"/>
        <w:rPr>
          <w:rFonts w:ascii="宋体"/>
          <w:b/>
          <w:sz w:val="28"/>
          <w:szCs w:val="28"/>
        </w:rPr>
      </w:pPr>
      <w:bookmarkStart w:id="134" w:name="_Toc353351909"/>
      <w:r>
        <w:rPr>
          <w:rFonts w:ascii="宋体" w:hAnsi="宋体"/>
          <w:b/>
          <w:sz w:val="28"/>
          <w:szCs w:val="28"/>
        </w:rPr>
        <w:t xml:space="preserve">9.2 </w:t>
      </w:r>
      <w:r>
        <w:rPr>
          <w:rFonts w:hint="eastAsia" w:ascii="宋体" w:hAnsi="宋体"/>
          <w:b/>
          <w:sz w:val="28"/>
          <w:szCs w:val="28"/>
        </w:rPr>
        <w:t>地下管线及其他地下设施的加固措施</w:t>
      </w:r>
      <w:bookmarkEnd w:id="132"/>
      <w:bookmarkEnd w:id="133"/>
      <w:bookmarkEnd w:id="134"/>
    </w:p>
    <w:p>
      <w:pPr>
        <w:numPr>
          <w:ilvl w:val="0"/>
          <w:numId w:val="11"/>
        </w:numPr>
        <w:spacing w:line="360" w:lineRule="auto"/>
        <w:jc w:val="left"/>
        <w:rPr>
          <w:rFonts w:ascii="宋体"/>
          <w:bCs/>
          <w:sz w:val="24"/>
        </w:rPr>
      </w:pPr>
      <w:r>
        <w:rPr>
          <w:rFonts w:hint="eastAsia" w:ascii="宋体" w:hAnsi="宋体"/>
          <w:bCs/>
          <w:sz w:val="24"/>
        </w:rPr>
        <w:t>围护桩施工前提前探明场地内不可迁移管线位置、埋深、管径等，并做好交底记录，避免施工时机械碾压管线或旋挖机钻进时碰坏管线。</w:t>
      </w:r>
    </w:p>
    <w:p>
      <w:pPr>
        <w:numPr>
          <w:ilvl w:val="0"/>
          <w:numId w:val="11"/>
        </w:numPr>
        <w:spacing w:line="360" w:lineRule="auto"/>
        <w:jc w:val="left"/>
        <w:rPr>
          <w:rFonts w:ascii="宋体"/>
          <w:bCs/>
          <w:sz w:val="24"/>
        </w:rPr>
      </w:pPr>
      <w:r>
        <w:rPr>
          <w:rFonts w:hint="eastAsia" w:ascii="宋体" w:hAnsi="宋体"/>
          <w:bCs/>
          <w:sz w:val="24"/>
        </w:rPr>
        <w:t>管线或地下结构若与围护桩位置存在冲突，及时请监理、建设单位、机场有关部门现场查看，并报设计单位出具变更。</w:t>
      </w:r>
    </w:p>
    <w:p>
      <w:pPr>
        <w:numPr>
          <w:ilvl w:val="0"/>
          <w:numId w:val="11"/>
        </w:numPr>
        <w:spacing w:line="360" w:lineRule="auto"/>
        <w:jc w:val="left"/>
        <w:rPr>
          <w:rFonts w:ascii="宋体"/>
          <w:bCs/>
          <w:sz w:val="24"/>
        </w:rPr>
      </w:pPr>
      <w:r>
        <w:rPr>
          <w:rFonts w:hint="eastAsia" w:ascii="宋体" w:hAnsi="宋体"/>
          <w:bCs/>
          <w:sz w:val="24"/>
        </w:rPr>
        <w:t>指派专人负责地下管线及设施的处理、加固。</w:t>
      </w:r>
    </w:p>
    <w:p>
      <w:pPr>
        <w:numPr>
          <w:ilvl w:val="0"/>
          <w:numId w:val="11"/>
        </w:numPr>
        <w:spacing w:line="360" w:lineRule="auto"/>
        <w:jc w:val="left"/>
        <w:rPr>
          <w:rFonts w:ascii="宋体"/>
          <w:bCs/>
          <w:sz w:val="24"/>
        </w:rPr>
      </w:pPr>
      <w:r>
        <w:rPr>
          <w:rFonts w:hint="eastAsia" w:ascii="宋体" w:hAnsi="宋体"/>
          <w:bCs/>
          <w:sz w:val="24"/>
        </w:rPr>
        <w:t>具体管线保护方案详本项目管线专项施工方案。</w:t>
      </w:r>
    </w:p>
    <w:p>
      <w:pPr>
        <w:spacing w:line="360" w:lineRule="auto"/>
        <w:outlineLvl w:val="1"/>
        <w:rPr>
          <w:rFonts w:ascii="宋体"/>
          <w:b/>
          <w:sz w:val="28"/>
          <w:szCs w:val="28"/>
        </w:rPr>
      </w:pPr>
      <w:bookmarkStart w:id="135" w:name="_Toc353351910"/>
      <w:r>
        <w:rPr>
          <w:rFonts w:ascii="宋体" w:hAnsi="宋体"/>
          <w:b/>
          <w:sz w:val="28"/>
          <w:szCs w:val="28"/>
        </w:rPr>
        <w:t>9.3</w:t>
      </w:r>
      <w:r>
        <w:rPr>
          <w:rFonts w:hint="eastAsia" w:ascii="宋体" w:hAnsi="宋体"/>
          <w:b/>
          <w:sz w:val="28"/>
          <w:szCs w:val="28"/>
        </w:rPr>
        <w:t>泥浆池制备安全施工</w:t>
      </w:r>
      <w:bookmarkEnd w:id="135"/>
    </w:p>
    <w:p>
      <w:pPr>
        <w:pStyle w:val="62"/>
        <w:numPr>
          <w:ilvl w:val="0"/>
          <w:numId w:val="12"/>
        </w:numPr>
        <w:spacing w:line="360" w:lineRule="auto"/>
        <w:ind w:firstLineChars="0"/>
        <w:jc w:val="left"/>
        <w:rPr>
          <w:rFonts w:ascii="宋体"/>
          <w:sz w:val="24"/>
        </w:rPr>
      </w:pPr>
      <w:r>
        <w:rPr>
          <w:rFonts w:hint="eastAsia" w:ascii="宋体" w:hAnsi="宋体"/>
          <w:sz w:val="24"/>
        </w:rPr>
        <w:t>泥浆池四周设置防护栏杆，用高</w:t>
      </w:r>
      <w:r>
        <w:rPr>
          <w:rFonts w:ascii="宋体" w:hAnsi="宋体"/>
          <w:sz w:val="24"/>
        </w:rPr>
        <w:t>1.2m</w:t>
      </w:r>
      <w:r>
        <w:rPr>
          <w:rFonts w:hint="eastAsia" w:ascii="宋体" w:hAnsi="宋体"/>
          <w:sz w:val="24"/>
        </w:rPr>
        <w:t>的钢管，设置上下两道横杆，低杆离地</w:t>
      </w:r>
      <w:r>
        <w:rPr>
          <w:rFonts w:ascii="宋体" w:hAnsi="宋体"/>
          <w:sz w:val="24"/>
        </w:rPr>
        <w:t>30cm</w:t>
      </w:r>
      <w:r>
        <w:rPr>
          <w:rFonts w:hint="eastAsia" w:ascii="宋体" w:hAnsi="宋体"/>
          <w:sz w:val="24"/>
        </w:rPr>
        <w:t>，每两米一根立柱，在防护钢管上间隔</w:t>
      </w:r>
      <w:r>
        <w:rPr>
          <w:rFonts w:ascii="宋体" w:hAnsi="宋体"/>
          <w:sz w:val="24"/>
        </w:rPr>
        <w:t>20cm</w:t>
      </w:r>
      <w:r>
        <w:rPr>
          <w:rFonts w:hint="eastAsia" w:ascii="宋体" w:hAnsi="宋体"/>
          <w:sz w:val="24"/>
        </w:rPr>
        <w:t>涂抹红白油漆；</w:t>
      </w:r>
    </w:p>
    <w:p>
      <w:pPr>
        <w:pStyle w:val="62"/>
        <w:numPr>
          <w:ilvl w:val="0"/>
          <w:numId w:val="12"/>
        </w:numPr>
        <w:spacing w:line="360" w:lineRule="auto"/>
        <w:ind w:firstLineChars="0"/>
        <w:jc w:val="left"/>
        <w:rPr>
          <w:rFonts w:ascii="宋体"/>
          <w:sz w:val="24"/>
        </w:rPr>
      </w:pPr>
      <w:r>
        <w:rPr>
          <w:rFonts w:hint="eastAsia" w:ascii="宋体" w:hAnsi="宋体"/>
          <w:sz w:val="24"/>
        </w:rPr>
        <w:t>设置警示标语，外挂绿色防护网，标识明确醒目；</w:t>
      </w:r>
    </w:p>
    <w:p>
      <w:pPr>
        <w:pStyle w:val="62"/>
        <w:numPr>
          <w:ilvl w:val="0"/>
          <w:numId w:val="12"/>
        </w:numPr>
        <w:spacing w:line="360" w:lineRule="auto"/>
        <w:ind w:firstLineChars="0"/>
        <w:jc w:val="left"/>
        <w:rPr>
          <w:rFonts w:ascii="宋体"/>
          <w:sz w:val="24"/>
        </w:rPr>
      </w:pPr>
      <w:r>
        <w:rPr>
          <w:rFonts w:hint="eastAsia" w:ascii="宋体" w:hAnsi="宋体"/>
          <w:sz w:val="24"/>
        </w:rPr>
        <w:t>夜间施工期间，在泥浆池四周做灯光照明措施，以保证泥浆池周围视线正常。</w:t>
      </w:r>
    </w:p>
    <w:p>
      <w:pPr>
        <w:spacing w:line="360" w:lineRule="auto"/>
        <w:jc w:val="center"/>
        <w:outlineLvl w:val="1"/>
        <w:rPr>
          <w:rFonts w:ascii="宋体"/>
          <w:b/>
          <w:sz w:val="28"/>
          <w:szCs w:val="28"/>
        </w:rPr>
      </w:pPr>
      <w:bookmarkStart w:id="136" w:name="_Toc350517648"/>
    </w:p>
    <w:p>
      <w:pPr>
        <w:spacing w:line="360" w:lineRule="auto"/>
        <w:jc w:val="center"/>
        <w:outlineLvl w:val="1"/>
        <w:rPr>
          <w:rFonts w:ascii="宋体"/>
          <w:b/>
          <w:sz w:val="28"/>
          <w:szCs w:val="28"/>
        </w:rPr>
      </w:pPr>
    </w:p>
    <w:p>
      <w:pPr>
        <w:spacing w:line="360" w:lineRule="auto"/>
        <w:jc w:val="center"/>
        <w:outlineLvl w:val="1"/>
        <w:rPr>
          <w:rFonts w:ascii="宋体"/>
          <w:b/>
          <w:sz w:val="28"/>
          <w:szCs w:val="28"/>
        </w:rPr>
      </w:pPr>
    </w:p>
    <w:p>
      <w:pPr>
        <w:spacing w:line="360" w:lineRule="auto"/>
        <w:jc w:val="center"/>
        <w:outlineLvl w:val="1"/>
        <w:rPr>
          <w:rFonts w:ascii="宋体"/>
          <w:b/>
          <w:sz w:val="28"/>
          <w:szCs w:val="28"/>
        </w:rPr>
      </w:pPr>
    </w:p>
    <w:p>
      <w:pPr>
        <w:spacing w:line="360" w:lineRule="auto"/>
        <w:jc w:val="center"/>
        <w:outlineLvl w:val="1"/>
        <w:rPr>
          <w:rFonts w:ascii="宋体"/>
          <w:b/>
          <w:sz w:val="28"/>
          <w:szCs w:val="28"/>
        </w:rPr>
      </w:pPr>
    </w:p>
    <w:p>
      <w:pPr>
        <w:spacing w:line="360" w:lineRule="auto"/>
        <w:jc w:val="center"/>
        <w:outlineLvl w:val="1"/>
        <w:rPr>
          <w:rFonts w:ascii="宋体"/>
          <w:b/>
          <w:sz w:val="28"/>
          <w:szCs w:val="28"/>
        </w:rPr>
      </w:pPr>
    </w:p>
    <w:p>
      <w:pPr>
        <w:spacing w:line="360" w:lineRule="auto"/>
        <w:jc w:val="center"/>
        <w:outlineLvl w:val="1"/>
        <w:rPr>
          <w:rFonts w:ascii="宋体"/>
          <w:b/>
          <w:sz w:val="28"/>
          <w:szCs w:val="28"/>
        </w:rPr>
      </w:pPr>
    </w:p>
    <w:p>
      <w:pPr>
        <w:spacing w:line="360" w:lineRule="auto"/>
        <w:jc w:val="center"/>
        <w:outlineLvl w:val="1"/>
        <w:rPr>
          <w:rFonts w:ascii="宋体"/>
          <w:b/>
          <w:sz w:val="28"/>
          <w:szCs w:val="28"/>
        </w:rPr>
      </w:pPr>
    </w:p>
    <w:p>
      <w:pPr>
        <w:spacing w:line="360" w:lineRule="auto"/>
        <w:jc w:val="center"/>
        <w:outlineLvl w:val="1"/>
        <w:rPr>
          <w:rFonts w:ascii="宋体"/>
          <w:b/>
          <w:sz w:val="28"/>
          <w:szCs w:val="28"/>
        </w:rPr>
      </w:pPr>
    </w:p>
    <w:p>
      <w:pPr>
        <w:spacing w:line="360" w:lineRule="auto"/>
        <w:jc w:val="center"/>
        <w:outlineLvl w:val="1"/>
        <w:rPr>
          <w:rFonts w:ascii="宋体"/>
          <w:b/>
          <w:sz w:val="28"/>
          <w:szCs w:val="28"/>
        </w:rPr>
      </w:pPr>
    </w:p>
    <w:p>
      <w:pPr>
        <w:spacing w:line="360" w:lineRule="auto"/>
        <w:jc w:val="center"/>
        <w:outlineLvl w:val="1"/>
        <w:rPr>
          <w:rFonts w:ascii="宋体"/>
          <w:b/>
          <w:sz w:val="28"/>
          <w:szCs w:val="28"/>
        </w:rPr>
      </w:pPr>
    </w:p>
    <w:p>
      <w:pPr>
        <w:spacing w:line="360" w:lineRule="auto"/>
        <w:jc w:val="center"/>
        <w:outlineLvl w:val="1"/>
        <w:rPr>
          <w:rFonts w:ascii="宋体"/>
          <w:b/>
          <w:sz w:val="28"/>
          <w:szCs w:val="28"/>
        </w:rPr>
      </w:pPr>
    </w:p>
    <w:p>
      <w:pPr>
        <w:spacing w:line="360" w:lineRule="auto"/>
        <w:jc w:val="center"/>
        <w:outlineLvl w:val="1"/>
        <w:rPr>
          <w:rFonts w:ascii="宋体"/>
          <w:b/>
          <w:sz w:val="28"/>
          <w:szCs w:val="28"/>
        </w:rPr>
      </w:pPr>
    </w:p>
    <w:p>
      <w:pPr>
        <w:spacing w:line="360" w:lineRule="auto"/>
        <w:jc w:val="center"/>
        <w:outlineLvl w:val="1"/>
        <w:rPr>
          <w:rFonts w:ascii="宋体"/>
          <w:b/>
          <w:sz w:val="28"/>
          <w:szCs w:val="28"/>
        </w:rPr>
      </w:pPr>
    </w:p>
    <w:p>
      <w:pPr>
        <w:spacing w:line="360" w:lineRule="auto"/>
        <w:jc w:val="center"/>
        <w:outlineLvl w:val="1"/>
        <w:rPr>
          <w:rFonts w:ascii="宋体"/>
          <w:b/>
          <w:sz w:val="28"/>
          <w:szCs w:val="28"/>
        </w:rPr>
      </w:pPr>
    </w:p>
    <w:p>
      <w:pPr>
        <w:spacing w:line="360" w:lineRule="auto"/>
        <w:jc w:val="center"/>
        <w:outlineLvl w:val="1"/>
        <w:rPr>
          <w:rFonts w:ascii="宋体"/>
          <w:b/>
          <w:sz w:val="28"/>
          <w:szCs w:val="28"/>
        </w:rPr>
      </w:pPr>
    </w:p>
    <w:p>
      <w:pPr>
        <w:spacing w:line="360" w:lineRule="auto"/>
        <w:jc w:val="center"/>
        <w:outlineLvl w:val="1"/>
        <w:rPr>
          <w:rFonts w:ascii="宋体"/>
          <w:b/>
          <w:sz w:val="28"/>
          <w:szCs w:val="28"/>
        </w:rPr>
      </w:pPr>
    </w:p>
    <w:p>
      <w:pPr>
        <w:spacing w:line="360" w:lineRule="auto"/>
        <w:jc w:val="center"/>
        <w:outlineLvl w:val="1"/>
        <w:rPr>
          <w:rFonts w:ascii="宋体"/>
          <w:b/>
          <w:sz w:val="28"/>
          <w:szCs w:val="28"/>
        </w:rPr>
      </w:pPr>
    </w:p>
    <w:p>
      <w:pPr>
        <w:spacing w:line="360" w:lineRule="auto"/>
        <w:jc w:val="center"/>
        <w:outlineLvl w:val="1"/>
        <w:rPr>
          <w:rFonts w:ascii="宋体"/>
          <w:b/>
          <w:sz w:val="28"/>
          <w:szCs w:val="28"/>
        </w:rPr>
      </w:pPr>
    </w:p>
    <w:p>
      <w:pPr>
        <w:spacing w:line="360" w:lineRule="auto"/>
        <w:jc w:val="center"/>
        <w:outlineLvl w:val="1"/>
        <w:rPr>
          <w:rFonts w:ascii="宋体"/>
          <w:b/>
          <w:sz w:val="28"/>
          <w:szCs w:val="28"/>
        </w:rPr>
      </w:pPr>
    </w:p>
    <w:p>
      <w:pPr>
        <w:spacing w:line="360" w:lineRule="auto"/>
        <w:jc w:val="center"/>
        <w:outlineLvl w:val="1"/>
        <w:rPr>
          <w:rFonts w:ascii="宋体"/>
          <w:b/>
          <w:sz w:val="28"/>
          <w:szCs w:val="28"/>
        </w:rPr>
      </w:pPr>
    </w:p>
    <w:p>
      <w:pPr>
        <w:spacing w:line="360" w:lineRule="auto"/>
        <w:jc w:val="center"/>
        <w:outlineLvl w:val="1"/>
        <w:rPr>
          <w:rFonts w:ascii="宋体"/>
          <w:b/>
          <w:sz w:val="28"/>
          <w:szCs w:val="28"/>
        </w:rPr>
      </w:pPr>
      <w:bookmarkStart w:id="137" w:name="_Toc353351911"/>
      <w:r>
        <w:rPr>
          <w:rFonts w:hint="eastAsia" w:ascii="宋体" w:hAnsi="宋体"/>
          <w:b/>
          <w:sz w:val="28"/>
          <w:szCs w:val="28"/>
        </w:rPr>
        <w:t>第十章</w:t>
      </w:r>
      <w:r>
        <w:rPr>
          <w:rFonts w:ascii="宋体" w:hAnsi="宋体"/>
          <w:b/>
          <w:sz w:val="28"/>
          <w:szCs w:val="28"/>
        </w:rPr>
        <w:t xml:space="preserve"> </w:t>
      </w:r>
      <w:r>
        <w:rPr>
          <w:rFonts w:hint="eastAsia" w:ascii="宋体" w:hAnsi="宋体"/>
          <w:b/>
          <w:sz w:val="28"/>
          <w:szCs w:val="28"/>
        </w:rPr>
        <w:t>环保文明施工管理措施</w:t>
      </w:r>
      <w:bookmarkEnd w:id="136"/>
      <w:bookmarkEnd w:id="137"/>
    </w:p>
    <w:p>
      <w:pPr>
        <w:spacing w:line="360" w:lineRule="auto"/>
        <w:outlineLvl w:val="1"/>
        <w:rPr>
          <w:rFonts w:ascii="宋体"/>
          <w:b/>
          <w:sz w:val="28"/>
          <w:szCs w:val="28"/>
        </w:rPr>
      </w:pPr>
      <w:bookmarkStart w:id="138" w:name="_Toc353351912"/>
      <w:r>
        <w:rPr>
          <w:rFonts w:ascii="宋体" w:hAnsi="宋体"/>
          <w:b/>
          <w:sz w:val="28"/>
          <w:szCs w:val="28"/>
        </w:rPr>
        <w:t>10.1</w:t>
      </w:r>
      <w:r>
        <w:rPr>
          <w:rFonts w:hint="eastAsia" w:ascii="宋体" w:hAnsi="宋体"/>
          <w:b/>
          <w:sz w:val="28"/>
          <w:szCs w:val="28"/>
        </w:rPr>
        <w:t>文明施工管理措施</w:t>
      </w:r>
      <w:bookmarkEnd w:id="138"/>
    </w:p>
    <w:p>
      <w:pPr>
        <w:pStyle w:val="62"/>
        <w:numPr>
          <w:ilvl w:val="0"/>
          <w:numId w:val="13"/>
        </w:numPr>
        <w:spacing w:line="360" w:lineRule="auto"/>
        <w:ind w:left="851" w:firstLineChars="0"/>
        <w:outlineLvl w:val="1"/>
        <w:rPr>
          <w:rFonts w:ascii="宋体"/>
          <w:b/>
          <w:sz w:val="28"/>
          <w:szCs w:val="28"/>
        </w:rPr>
      </w:pPr>
      <w:bookmarkStart w:id="139" w:name="_Toc353351844"/>
      <w:bookmarkStart w:id="140" w:name="_Toc353351913"/>
      <w:bookmarkStart w:id="141" w:name="_Toc350601688"/>
      <w:bookmarkStart w:id="142" w:name="_Toc353351584"/>
      <w:r>
        <w:rPr>
          <w:rFonts w:hint="eastAsia" w:ascii="宋体" w:hAnsi="宋体"/>
          <w:color w:val="000000"/>
          <w:kern w:val="0"/>
          <w:sz w:val="24"/>
        </w:rPr>
        <w:t>施工材料堆放要整齐，废渣要及时清理外运。在场地内根据现场需要设置泥浆池，并用泥浆车及时外运。</w:t>
      </w:r>
      <w:bookmarkEnd w:id="139"/>
      <w:bookmarkEnd w:id="140"/>
      <w:bookmarkEnd w:id="141"/>
      <w:bookmarkEnd w:id="142"/>
    </w:p>
    <w:p>
      <w:pPr>
        <w:pStyle w:val="62"/>
        <w:numPr>
          <w:ilvl w:val="0"/>
          <w:numId w:val="13"/>
        </w:numPr>
        <w:autoSpaceDE w:val="0"/>
        <w:autoSpaceDN w:val="0"/>
        <w:adjustRightInd w:val="0"/>
        <w:snapToGrid w:val="0"/>
        <w:spacing w:line="360" w:lineRule="auto"/>
        <w:ind w:left="851" w:firstLineChars="0"/>
        <w:jc w:val="left"/>
        <w:rPr>
          <w:rFonts w:ascii="宋体"/>
          <w:color w:val="000000"/>
          <w:kern w:val="0"/>
          <w:sz w:val="24"/>
        </w:rPr>
      </w:pPr>
      <w:r>
        <w:rPr>
          <w:rFonts w:hint="eastAsia" w:ascii="宋体" w:hAnsi="宋体"/>
          <w:color w:val="000000"/>
          <w:kern w:val="0"/>
          <w:sz w:val="24"/>
        </w:rPr>
        <w:t>冲洗液循环系统要根据现场实际情况和钻机移动路线合理布置，即能满足成孔需要，又要考虑排污方便，确保排污畅通。</w:t>
      </w:r>
    </w:p>
    <w:p>
      <w:pPr>
        <w:pStyle w:val="62"/>
        <w:numPr>
          <w:ilvl w:val="0"/>
          <w:numId w:val="13"/>
        </w:numPr>
        <w:autoSpaceDE w:val="0"/>
        <w:autoSpaceDN w:val="0"/>
        <w:adjustRightInd w:val="0"/>
        <w:snapToGrid w:val="0"/>
        <w:spacing w:line="360" w:lineRule="auto"/>
        <w:ind w:left="851" w:firstLineChars="0"/>
        <w:jc w:val="left"/>
        <w:rPr>
          <w:rFonts w:ascii="宋体"/>
          <w:color w:val="000000"/>
          <w:kern w:val="0"/>
          <w:sz w:val="24"/>
        </w:rPr>
      </w:pPr>
      <w:r>
        <w:rPr>
          <w:rFonts w:hint="eastAsia" w:ascii="宋体" w:hAnsi="宋体"/>
          <w:color w:val="000000"/>
          <w:kern w:val="0"/>
          <w:sz w:val="24"/>
        </w:rPr>
        <w:t>泥浆循环系统冲洗液不能随地处乱排，水笼头和胶管接头处不得泄漏，废浆排放要及时，灌注导管移至固定位置冲洗后归堆存放，以确保施工现场和周边环境不受污染。</w:t>
      </w:r>
    </w:p>
    <w:p>
      <w:pPr>
        <w:pStyle w:val="62"/>
        <w:numPr>
          <w:ilvl w:val="0"/>
          <w:numId w:val="13"/>
        </w:numPr>
        <w:autoSpaceDE w:val="0"/>
        <w:autoSpaceDN w:val="0"/>
        <w:adjustRightInd w:val="0"/>
        <w:snapToGrid w:val="0"/>
        <w:spacing w:line="360" w:lineRule="auto"/>
        <w:ind w:left="851" w:firstLineChars="0"/>
        <w:jc w:val="left"/>
        <w:rPr>
          <w:rFonts w:ascii="宋体"/>
          <w:color w:val="000000"/>
          <w:kern w:val="0"/>
          <w:sz w:val="24"/>
        </w:rPr>
      </w:pPr>
      <w:r>
        <w:rPr>
          <w:rFonts w:hint="eastAsia" w:ascii="宋体" w:hAnsi="宋体"/>
          <w:color w:val="000000"/>
          <w:kern w:val="0"/>
          <w:sz w:val="24"/>
        </w:rPr>
        <w:t>做好机械保养工作，经常清理机械油污和泥浆，挂好机械安全操作规格和警示标志。</w:t>
      </w:r>
    </w:p>
    <w:p>
      <w:pPr>
        <w:pStyle w:val="62"/>
        <w:numPr>
          <w:ilvl w:val="0"/>
          <w:numId w:val="13"/>
        </w:numPr>
        <w:autoSpaceDE w:val="0"/>
        <w:autoSpaceDN w:val="0"/>
        <w:adjustRightInd w:val="0"/>
        <w:snapToGrid w:val="0"/>
        <w:spacing w:line="360" w:lineRule="auto"/>
        <w:ind w:left="851" w:firstLineChars="0"/>
        <w:jc w:val="left"/>
        <w:rPr>
          <w:rFonts w:ascii="宋体"/>
          <w:color w:val="000000"/>
          <w:kern w:val="0"/>
          <w:sz w:val="24"/>
        </w:rPr>
      </w:pPr>
      <w:r>
        <w:rPr>
          <w:rFonts w:hint="eastAsia" w:ascii="宋体" w:hAnsi="宋体"/>
          <w:color w:val="000000"/>
          <w:kern w:val="0"/>
          <w:sz w:val="24"/>
        </w:rPr>
        <w:t>针对泥浆污染的应地措施：</w:t>
      </w:r>
    </w:p>
    <w:p>
      <w:pPr>
        <w:autoSpaceDE w:val="0"/>
        <w:autoSpaceDN w:val="0"/>
        <w:adjustRightInd w:val="0"/>
        <w:snapToGrid w:val="0"/>
        <w:spacing w:line="360" w:lineRule="auto"/>
        <w:ind w:left="359" w:leftChars="171" w:firstLine="120" w:firstLineChars="50"/>
        <w:jc w:val="left"/>
        <w:rPr>
          <w:rFonts w:ascii="宋体"/>
          <w:color w:val="000000"/>
          <w:kern w:val="0"/>
          <w:sz w:val="24"/>
        </w:rPr>
      </w:pPr>
      <w:r>
        <w:rPr>
          <w:rFonts w:ascii="宋体" w:hAnsi="宋体"/>
          <w:color w:val="000000"/>
          <w:kern w:val="0"/>
          <w:sz w:val="24"/>
        </w:rPr>
        <w:t>1</w:t>
      </w:r>
      <w:r>
        <w:rPr>
          <w:rFonts w:hint="eastAsia" w:ascii="宋体" w:hAnsi="宋体"/>
          <w:color w:val="000000"/>
          <w:kern w:val="0"/>
          <w:sz w:val="24"/>
        </w:rPr>
        <w:t>、泥浆可能会向孔外漏失，：护筒埋设高度至少高于地面</w:t>
      </w:r>
      <w:r>
        <w:rPr>
          <w:rFonts w:ascii="宋体" w:hAnsi="宋体"/>
          <w:color w:val="000000"/>
          <w:kern w:val="0"/>
          <w:sz w:val="24"/>
        </w:rPr>
        <w:t>0.5</w:t>
      </w:r>
      <w:r>
        <w:rPr>
          <w:rFonts w:hint="eastAsia" w:ascii="宋体" w:hAnsi="宋体"/>
          <w:color w:val="000000"/>
          <w:kern w:val="0"/>
          <w:sz w:val="24"/>
        </w:rPr>
        <w:t>米以上。</w:t>
      </w:r>
    </w:p>
    <w:p>
      <w:pPr>
        <w:autoSpaceDE w:val="0"/>
        <w:autoSpaceDN w:val="0"/>
        <w:adjustRightInd w:val="0"/>
        <w:snapToGrid w:val="0"/>
        <w:spacing w:line="360" w:lineRule="auto"/>
        <w:ind w:left="839" w:leftChars="228" w:hanging="360" w:hangingChars="150"/>
        <w:jc w:val="left"/>
        <w:rPr>
          <w:rFonts w:ascii="宋体"/>
          <w:color w:val="000000"/>
          <w:kern w:val="0"/>
          <w:sz w:val="24"/>
        </w:rPr>
      </w:pPr>
      <w:r>
        <w:rPr>
          <w:rFonts w:ascii="宋体" w:hAnsi="宋体"/>
          <w:color w:val="000000"/>
          <w:kern w:val="0"/>
          <w:sz w:val="24"/>
        </w:rPr>
        <w:t>2</w:t>
      </w:r>
      <w:r>
        <w:rPr>
          <w:rFonts w:hint="eastAsia" w:ascii="宋体" w:hAnsi="宋体"/>
          <w:color w:val="000000"/>
          <w:kern w:val="0"/>
          <w:sz w:val="24"/>
        </w:rPr>
        <w:t>、旋挖机取土时带出泥浆：尚围护桩外围设置一条深</w:t>
      </w:r>
      <w:r>
        <w:rPr>
          <w:rFonts w:ascii="宋体" w:hAnsi="宋体"/>
          <w:color w:val="000000"/>
          <w:kern w:val="0"/>
          <w:sz w:val="24"/>
        </w:rPr>
        <w:t>1</w:t>
      </w:r>
      <w:r>
        <w:rPr>
          <w:rFonts w:hint="eastAsia" w:ascii="宋体" w:hAnsi="宋体"/>
          <w:color w:val="000000"/>
          <w:kern w:val="0"/>
          <w:sz w:val="24"/>
        </w:rPr>
        <w:t>米左右的泥浆沟，将地面上的废浆引排至沟内，避免泥浆横流。</w:t>
      </w:r>
    </w:p>
    <w:bookmarkEnd w:id="122"/>
    <w:bookmarkEnd w:id="123"/>
    <w:bookmarkEnd w:id="124"/>
    <w:bookmarkEnd w:id="125"/>
    <w:bookmarkEnd w:id="126"/>
    <w:bookmarkEnd w:id="127"/>
    <w:bookmarkEnd w:id="128"/>
    <w:bookmarkEnd w:id="129"/>
    <w:bookmarkEnd w:id="130"/>
    <w:bookmarkEnd w:id="131"/>
    <w:p>
      <w:pPr>
        <w:spacing w:line="360" w:lineRule="auto"/>
        <w:outlineLvl w:val="1"/>
        <w:rPr>
          <w:rFonts w:ascii="宋体"/>
          <w:sz w:val="24"/>
        </w:rPr>
      </w:pPr>
      <w:bookmarkStart w:id="143" w:name="_Toc350517649"/>
      <w:bookmarkStart w:id="144" w:name="_Toc353351914"/>
      <w:r>
        <w:rPr>
          <w:rFonts w:ascii="宋体" w:hAnsi="宋体"/>
          <w:b/>
          <w:sz w:val="28"/>
          <w:szCs w:val="28"/>
        </w:rPr>
        <w:t>10.2</w:t>
      </w:r>
      <w:r>
        <w:rPr>
          <w:rFonts w:hint="eastAsia" w:ascii="宋体" w:hAnsi="宋体"/>
          <w:b/>
          <w:sz w:val="28"/>
          <w:szCs w:val="28"/>
        </w:rPr>
        <w:t>环境保护</w:t>
      </w:r>
      <w:bookmarkEnd w:id="143"/>
      <w:bookmarkEnd w:id="144"/>
    </w:p>
    <w:p>
      <w:pPr>
        <w:spacing w:line="360" w:lineRule="auto"/>
        <w:ind w:firstLine="482" w:firstLineChars="200"/>
        <w:outlineLvl w:val="2"/>
        <w:rPr>
          <w:rFonts w:ascii="宋体"/>
          <w:b/>
          <w:sz w:val="24"/>
        </w:rPr>
      </w:pPr>
      <w:bookmarkStart w:id="145" w:name="_Toc353351915"/>
      <w:r>
        <w:rPr>
          <w:rFonts w:ascii="宋体" w:hAnsi="宋体"/>
          <w:b/>
          <w:sz w:val="24"/>
        </w:rPr>
        <w:t>10.2.1</w:t>
      </w:r>
      <w:r>
        <w:rPr>
          <w:rFonts w:hint="eastAsia" w:ascii="宋体" w:hAnsi="宋体"/>
          <w:b/>
          <w:sz w:val="24"/>
        </w:rPr>
        <w:t>设置环保机构</w:t>
      </w:r>
      <w:bookmarkEnd w:id="145"/>
    </w:p>
    <w:p>
      <w:pPr>
        <w:spacing w:line="360" w:lineRule="auto"/>
        <w:ind w:firstLine="480" w:firstLineChars="200"/>
        <w:rPr>
          <w:rFonts w:ascii="宋体"/>
          <w:sz w:val="24"/>
        </w:rPr>
      </w:pPr>
      <w:r>
        <w:rPr>
          <w:rFonts w:ascii="宋体" w:hAnsi="宋体"/>
          <w:sz w:val="24"/>
        </w:rPr>
        <w:t>1</w:t>
      </w:r>
      <w:r>
        <w:rPr>
          <w:rFonts w:hint="eastAsia" w:ascii="宋体" w:hAnsi="宋体"/>
          <w:sz w:val="24"/>
        </w:rPr>
        <w:t>、成立环保工作小组，配置环保专职人员，切实贯彻环保法规，该机构由一名副经理任组长。各工区、班组派人参加，将环保责任和义务落实到人。</w:t>
      </w:r>
    </w:p>
    <w:p>
      <w:pPr>
        <w:spacing w:line="360" w:lineRule="auto"/>
        <w:ind w:firstLine="480" w:firstLineChars="200"/>
        <w:rPr>
          <w:rFonts w:ascii="宋体"/>
          <w:sz w:val="24"/>
        </w:rPr>
      </w:pPr>
      <w:r>
        <w:rPr>
          <w:rFonts w:ascii="宋体" w:hAnsi="宋体"/>
          <w:sz w:val="24"/>
        </w:rPr>
        <w:t>2</w:t>
      </w:r>
      <w:r>
        <w:rPr>
          <w:rFonts w:hint="eastAsia" w:ascii="宋体" w:hAnsi="宋体"/>
          <w:sz w:val="24"/>
        </w:rPr>
        <w:t>、严格执行国家及地方政府颁布的有关环境保护，水土保持的法规、方针、政策和法令，结合设计文件和本工程的实际情况，及时申报有关环保文件，按批准的文件组织实施，定期检查。</w:t>
      </w:r>
    </w:p>
    <w:p>
      <w:pPr>
        <w:spacing w:line="360" w:lineRule="auto"/>
        <w:ind w:firstLine="482" w:firstLineChars="200"/>
        <w:outlineLvl w:val="2"/>
        <w:rPr>
          <w:rFonts w:ascii="宋体"/>
          <w:b/>
          <w:sz w:val="24"/>
        </w:rPr>
      </w:pPr>
      <w:bookmarkStart w:id="146" w:name="_Toc17387164"/>
      <w:bookmarkStart w:id="147" w:name="_Toc17388693"/>
      <w:bookmarkStart w:id="148" w:name="_Toc37479789"/>
      <w:bookmarkStart w:id="149" w:name="_Toc37908865"/>
      <w:bookmarkStart w:id="150" w:name="_Toc66028529"/>
      <w:bookmarkStart w:id="151" w:name="_Toc74748042"/>
      <w:bookmarkStart w:id="152" w:name="_Toc74748545"/>
      <w:bookmarkStart w:id="153" w:name="_Toc79502525"/>
      <w:bookmarkStart w:id="154" w:name="_Toc123547610"/>
      <w:bookmarkStart w:id="155" w:name="_Toc130043679"/>
      <w:bookmarkStart w:id="156" w:name="_Toc353351916"/>
      <w:r>
        <w:rPr>
          <w:rFonts w:ascii="宋体" w:hAnsi="宋体"/>
          <w:b/>
          <w:sz w:val="24"/>
        </w:rPr>
        <w:t>10.2.2</w:t>
      </w:r>
      <w:r>
        <w:rPr>
          <w:rFonts w:hint="eastAsia" w:ascii="宋体" w:hAnsi="宋体"/>
          <w:b/>
          <w:sz w:val="24"/>
        </w:rPr>
        <w:t>重视环保工作</w:t>
      </w:r>
      <w:bookmarkEnd w:id="146"/>
      <w:bookmarkEnd w:id="147"/>
      <w:bookmarkEnd w:id="148"/>
      <w:bookmarkEnd w:id="149"/>
      <w:bookmarkEnd w:id="150"/>
      <w:bookmarkEnd w:id="151"/>
      <w:bookmarkEnd w:id="152"/>
      <w:bookmarkEnd w:id="153"/>
      <w:bookmarkEnd w:id="154"/>
      <w:bookmarkEnd w:id="155"/>
      <w:bookmarkEnd w:id="156"/>
    </w:p>
    <w:p>
      <w:pPr>
        <w:spacing w:line="360" w:lineRule="auto"/>
        <w:ind w:firstLine="480" w:firstLineChars="200"/>
        <w:rPr>
          <w:rFonts w:ascii="宋体"/>
          <w:sz w:val="24"/>
        </w:rPr>
      </w:pPr>
      <w:r>
        <w:rPr>
          <w:rFonts w:hint="eastAsia" w:ascii="宋体" w:hAnsi="宋体"/>
          <w:sz w:val="24"/>
        </w:rPr>
        <w:t>严格遵守业主的环境保护政策，为使环境得到保护，随时准备按受监理工程师、业主的环保人员及政府有关环保机构工作人员的检查，认真按照监理工程师的指令办事。</w:t>
      </w:r>
    </w:p>
    <w:p>
      <w:pPr>
        <w:spacing w:line="360" w:lineRule="auto"/>
        <w:ind w:firstLine="480" w:firstLineChars="200"/>
        <w:rPr>
          <w:rFonts w:ascii="宋体"/>
          <w:sz w:val="24"/>
        </w:rPr>
      </w:pPr>
      <w:r>
        <w:rPr>
          <w:rFonts w:ascii="宋体" w:hAnsi="宋体"/>
          <w:sz w:val="24"/>
        </w:rPr>
        <w:t>1</w:t>
      </w:r>
      <w:r>
        <w:rPr>
          <w:rFonts w:hint="eastAsia" w:ascii="宋体" w:hAnsi="宋体"/>
          <w:sz w:val="24"/>
        </w:rPr>
        <w:t>、施工场地应经常洒水，保持工地清洁，控制扬尘，杜绝漏洒材料。</w:t>
      </w:r>
    </w:p>
    <w:p>
      <w:pPr>
        <w:spacing w:line="360" w:lineRule="auto"/>
        <w:ind w:firstLine="480" w:firstLineChars="200"/>
        <w:rPr>
          <w:rFonts w:ascii="宋体"/>
          <w:sz w:val="24"/>
        </w:rPr>
      </w:pPr>
      <w:r>
        <w:rPr>
          <w:rFonts w:ascii="宋体" w:hAnsi="宋体"/>
          <w:sz w:val="24"/>
        </w:rPr>
        <w:t>2</w:t>
      </w:r>
      <w:r>
        <w:rPr>
          <w:rFonts w:hint="eastAsia" w:ascii="宋体" w:hAnsi="宋体"/>
          <w:sz w:val="24"/>
        </w:rPr>
        <w:t>、在桩基施工开始前，对施工过程中钻渣及泥浆等废弃物的处理方式及运输，弃置场地等应提出专门的报告，按招标文件的要求，不得污染水源。</w:t>
      </w:r>
    </w:p>
    <w:p>
      <w:pPr>
        <w:spacing w:line="360" w:lineRule="auto"/>
        <w:ind w:firstLine="480" w:firstLineChars="200"/>
        <w:rPr>
          <w:rFonts w:ascii="宋体"/>
          <w:sz w:val="24"/>
        </w:rPr>
      </w:pPr>
      <w:r>
        <w:rPr>
          <w:rFonts w:ascii="宋体" w:hAnsi="宋体"/>
          <w:sz w:val="24"/>
        </w:rPr>
        <w:t>3</w:t>
      </w:r>
      <w:r>
        <w:rPr>
          <w:rFonts w:hint="eastAsia" w:ascii="宋体" w:hAnsi="宋体"/>
          <w:sz w:val="24"/>
        </w:rPr>
        <w:t>、施工和生活中产生的废弃物及时集中处理、运至监理工程师及当地环保部门同意的指定地点弃置，不堵塞河流和污染水源。</w:t>
      </w:r>
    </w:p>
    <w:p>
      <w:pPr>
        <w:spacing w:line="360" w:lineRule="auto"/>
        <w:ind w:firstLine="480" w:firstLineChars="200"/>
        <w:rPr>
          <w:rFonts w:ascii="宋体"/>
          <w:sz w:val="24"/>
        </w:rPr>
      </w:pPr>
      <w:r>
        <w:rPr>
          <w:rFonts w:ascii="宋体" w:hAnsi="宋体"/>
          <w:sz w:val="24"/>
        </w:rPr>
        <w:t>4</w:t>
      </w:r>
      <w:r>
        <w:rPr>
          <w:rFonts w:hint="eastAsia" w:ascii="宋体" w:hAnsi="宋体"/>
          <w:sz w:val="24"/>
        </w:rPr>
        <w:t>、对施工及生活中产生的污水或废水，集中处理，经检验符合《污水综合排放》（</w:t>
      </w:r>
      <w:r>
        <w:rPr>
          <w:rFonts w:ascii="宋体" w:hAnsi="宋体"/>
          <w:sz w:val="24"/>
        </w:rPr>
        <w:t>GB8978-1996</w:t>
      </w:r>
      <w:r>
        <w:rPr>
          <w:rFonts w:hint="eastAsia" w:ascii="宋体" w:hAnsi="宋体"/>
          <w:sz w:val="24"/>
        </w:rPr>
        <w:t>）环保标准后，才能排放到河流沟溪中，排出的污水不得增加河流或水域中的悬浮物或造成改道冲刷、水质污染。</w:t>
      </w:r>
    </w:p>
    <w:p>
      <w:pPr>
        <w:spacing w:line="360" w:lineRule="auto"/>
        <w:ind w:firstLine="482" w:firstLineChars="200"/>
        <w:outlineLvl w:val="2"/>
        <w:rPr>
          <w:rFonts w:ascii="宋体"/>
          <w:sz w:val="24"/>
        </w:rPr>
      </w:pPr>
      <w:bookmarkStart w:id="157" w:name="_Toc17387165"/>
      <w:bookmarkStart w:id="158" w:name="_Toc17388694"/>
      <w:bookmarkStart w:id="159" w:name="_Toc37479790"/>
      <w:bookmarkStart w:id="160" w:name="_Toc37908866"/>
      <w:bookmarkStart w:id="161" w:name="_Toc66028530"/>
      <w:bookmarkStart w:id="162" w:name="_Toc74748043"/>
      <w:bookmarkStart w:id="163" w:name="_Toc74748546"/>
      <w:bookmarkStart w:id="164" w:name="_Toc79502526"/>
      <w:bookmarkStart w:id="165" w:name="_Toc123547611"/>
      <w:bookmarkStart w:id="166" w:name="_Toc130043680"/>
      <w:bookmarkStart w:id="167" w:name="_Toc353351917"/>
      <w:r>
        <w:rPr>
          <w:rFonts w:ascii="宋体" w:hAnsi="宋体"/>
          <w:b/>
          <w:sz w:val="24"/>
        </w:rPr>
        <w:t>10.2.3</w:t>
      </w:r>
      <w:r>
        <w:rPr>
          <w:rFonts w:hint="eastAsia" w:ascii="宋体" w:hAnsi="宋体"/>
          <w:b/>
          <w:sz w:val="24"/>
        </w:rPr>
        <w:t>加强环保学习和宣传</w:t>
      </w:r>
      <w:bookmarkEnd w:id="157"/>
      <w:bookmarkEnd w:id="158"/>
      <w:bookmarkEnd w:id="159"/>
      <w:bookmarkEnd w:id="160"/>
      <w:bookmarkEnd w:id="161"/>
      <w:bookmarkEnd w:id="162"/>
      <w:bookmarkEnd w:id="163"/>
      <w:bookmarkEnd w:id="164"/>
      <w:bookmarkEnd w:id="165"/>
      <w:bookmarkEnd w:id="166"/>
      <w:bookmarkEnd w:id="167"/>
    </w:p>
    <w:p>
      <w:pPr>
        <w:spacing w:line="360" w:lineRule="auto"/>
        <w:ind w:firstLine="420" w:firstLineChars="200"/>
        <w:rPr>
          <w:rFonts w:ascii="宋体"/>
          <w:sz w:val="24"/>
        </w:rPr>
      </w:pPr>
      <w:r>
        <w:t>1</w:t>
      </w:r>
      <w:r>
        <w:rPr>
          <w:rFonts w:hint="eastAsia" w:ascii="宋体" w:hAnsi="宋体"/>
          <w:sz w:val="24"/>
        </w:rPr>
        <w:t>、买环保书籍，加强学习环保知识、法律法规，开展环保知识宣传，提高全体员工的环保意识。</w:t>
      </w:r>
    </w:p>
    <w:p>
      <w:pPr>
        <w:spacing w:line="360" w:lineRule="auto"/>
        <w:ind w:firstLine="480" w:firstLineChars="200"/>
        <w:rPr>
          <w:rFonts w:ascii="宋体"/>
          <w:sz w:val="24"/>
        </w:rPr>
      </w:pPr>
      <w:r>
        <w:rPr>
          <w:rFonts w:ascii="宋体" w:hAnsi="宋体"/>
          <w:sz w:val="24"/>
        </w:rPr>
        <w:t>2</w:t>
      </w:r>
      <w:r>
        <w:rPr>
          <w:rFonts w:hint="eastAsia" w:ascii="宋体" w:hAnsi="宋体"/>
          <w:sz w:val="24"/>
        </w:rPr>
        <w:t>、以出黑板报、简报，张贴宣传标语等形式开展环保宣传工作。</w:t>
      </w:r>
    </w:p>
    <w:p>
      <w:pPr>
        <w:rPr>
          <w:rFonts w:ascii="宋体"/>
          <w:sz w:val="24"/>
        </w:rPr>
      </w:pPr>
    </w:p>
    <w:p>
      <w:pPr>
        <w:rPr>
          <w:rFonts w:ascii="宋体"/>
          <w:sz w:val="24"/>
        </w:rPr>
      </w:pPr>
    </w:p>
    <w:p>
      <w:pPr>
        <w:rPr>
          <w:rFonts w:ascii="宋体"/>
          <w:sz w:val="24"/>
        </w:rPr>
      </w:pPr>
    </w:p>
    <w:p>
      <w:pPr>
        <w:rPr>
          <w:rFonts w:ascii="宋体"/>
          <w:sz w:val="24"/>
        </w:rPr>
      </w:pPr>
    </w:p>
    <w:p>
      <w:pPr>
        <w:rPr>
          <w:rFonts w:ascii="宋体"/>
          <w:sz w:val="24"/>
        </w:rPr>
      </w:pPr>
    </w:p>
    <w:p>
      <w:pPr>
        <w:rPr>
          <w:rFonts w:ascii="宋体"/>
          <w:sz w:val="24"/>
        </w:rPr>
      </w:pPr>
    </w:p>
    <w:p>
      <w:pPr>
        <w:rPr>
          <w:rFonts w:ascii="宋体"/>
          <w:sz w:val="24"/>
        </w:rPr>
      </w:pPr>
    </w:p>
    <w:p>
      <w:pPr>
        <w:rPr>
          <w:rFonts w:ascii="宋体"/>
          <w:sz w:val="24"/>
        </w:rPr>
      </w:pPr>
    </w:p>
    <w:p>
      <w:pPr>
        <w:rPr>
          <w:rFonts w:ascii="宋体"/>
          <w:sz w:val="24"/>
        </w:rPr>
      </w:pPr>
    </w:p>
    <w:p>
      <w:pPr>
        <w:tabs>
          <w:tab w:val="left" w:pos="3879"/>
        </w:tabs>
        <w:rPr>
          <w:rFonts w:ascii="宋体"/>
          <w:sz w:val="24"/>
        </w:rPr>
      </w:pPr>
      <w:r>
        <w:rPr>
          <w:rFonts w:ascii="宋体"/>
          <w:sz w:val="24"/>
        </w:rPr>
        <w:tab/>
      </w:r>
    </w:p>
    <w:sectPr>
      <w:footerReference r:id="rId13" w:type="default"/>
      <w:pgSz w:w="11906" w:h="16838"/>
      <w:pgMar w:top="1440" w:right="1304" w:bottom="1440" w:left="1588" w:header="851" w:footer="992" w:gutter="0"/>
      <w:pgNumType w:start="27"/>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panose1 w:val="020F0502020204030204"/>
    <w:charset w:val="00"/>
    <w:family w:val="swiss"/>
    <w:pitch w:val="default"/>
    <w:sig w:usb0="A00002EF" w:usb1="4000207B" w:usb2="00000000" w:usb3="00000000" w:csb0="2000009F" w:csb1="00000000"/>
  </w:font>
  <w:font w:name="Arial">
    <w:panose1 w:val="020B0604020202020204"/>
    <w:charset w:val="00"/>
    <w:family w:val="swiss"/>
    <w:pitch w:val="default"/>
    <w:sig w:usb0="00007A87" w:usb1="80000000" w:usb2="00000008" w:usb3="00000000" w:csb0="400001FF" w:csb1="FFFF0000"/>
  </w:font>
  <w:font w:name="Courier New">
    <w:panose1 w:val="02070309020205020404"/>
    <w:charset w:val="00"/>
    <w:family w:val="modern"/>
    <w:pitch w:val="default"/>
    <w:sig w:usb0="00007A87" w:usb1="80000000" w:usb2="00000008" w:usb3="00000000" w:csb0="400001FF" w:csb1="FFFF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大标宋简体">
    <w:altName w:val="宋体"/>
    <w:panose1 w:val="02010601030101010101"/>
    <w:charset w:val="86"/>
    <w:family w:val="auto"/>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rPr>
        <w:rStyle w:val="26"/>
      </w:rPr>
    </w:pPr>
    <w:r>
      <w:rPr>
        <w:rStyle w:val="26"/>
      </w:rPr>
      <w:t>1</w:t>
    </w:r>
  </w:p>
  <w:p>
    <w:pPr>
      <w:pStyle w:val="20"/>
      <w:ind w:right="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framePr w:wrap="around" w:vAnchor="text" w:hAnchor="margin" w:xAlign="right" w:y="1"/>
      <w:rPr>
        <w:rStyle w:val="26"/>
      </w:rPr>
    </w:pPr>
    <w:r>
      <w:rPr>
        <w:rStyle w:val="26"/>
      </w:rPr>
      <w:fldChar w:fldCharType="begin"/>
    </w:r>
    <w:r>
      <w:rPr>
        <w:rStyle w:val="26"/>
      </w:rPr>
      <w:instrText xml:space="preserve">PAGE  </w:instrText>
    </w:r>
    <w:r>
      <w:rPr>
        <w:rStyle w:val="26"/>
      </w:rPr>
      <w:fldChar w:fldCharType="end"/>
    </w:r>
  </w:p>
  <w:p>
    <w:pPr>
      <w:pStyle w:val="20"/>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framePr w:wrap="around" w:vAnchor="text" w:hAnchor="margin" w:xAlign="right" w:y="1"/>
      <w:rPr>
        <w:rStyle w:val="26"/>
      </w:rPr>
    </w:pPr>
    <w:r>
      <w:rPr>
        <w:rStyle w:val="26"/>
      </w:rPr>
      <w:fldChar w:fldCharType="begin"/>
    </w:r>
    <w:r>
      <w:rPr>
        <w:rStyle w:val="26"/>
      </w:rPr>
      <w:instrText xml:space="preserve">PAGE  </w:instrText>
    </w:r>
    <w:r>
      <w:rPr>
        <w:rStyle w:val="26"/>
      </w:rPr>
      <w:fldChar w:fldCharType="end"/>
    </w:r>
  </w:p>
  <w:p>
    <w:pPr>
      <w:ind w:right="360"/>
      <w:rPr>
        <w:rFonts w:ascii="Cambria" w:hAnsi="Cambria"/>
        <w:sz w:val="48"/>
        <w:szCs w:val="44"/>
      </w:rPr>
    </w:pPr>
  </w:p>
  <w:p>
    <w:pPr>
      <w:pStyle w:val="20"/>
      <w:jc w:val="right"/>
      <w:rPr>
        <w:b/>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framePr w:wrap="around" w:vAnchor="text" w:hAnchor="margin" w:xAlign="right" w:y="1"/>
      <w:rPr>
        <w:rStyle w:val="26"/>
      </w:rPr>
    </w:pPr>
    <w:r>
      <w:rPr>
        <w:rStyle w:val="26"/>
      </w:rPr>
      <w:fldChar w:fldCharType="begin"/>
    </w:r>
    <w:r>
      <w:rPr>
        <w:rStyle w:val="26"/>
      </w:rPr>
      <w:instrText xml:space="preserve">PAGE  </w:instrText>
    </w:r>
    <w:r>
      <w:rPr>
        <w:rStyle w:val="26"/>
      </w:rPr>
      <w:fldChar w:fldCharType="separate"/>
    </w:r>
    <w:r>
      <w:rPr>
        <w:rStyle w:val="26"/>
      </w:rPr>
      <w:t>1</w:t>
    </w:r>
    <w:r>
      <w:rPr>
        <w:rStyle w:val="26"/>
      </w:rPr>
      <w:fldChar w:fldCharType="end"/>
    </w:r>
  </w:p>
  <w:p>
    <w:pPr>
      <w:pStyle w:val="20"/>
      <w:ind w:right="360"/>
      <w:jc w:val="righ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framePr w:wrap="around" w:vAnchor="text" w:hAnchor="margin" w:xAlign="right" w:y="1"/>
      <w:rPr>
        <w:rStyle w:val="26"/>
      </w:rPr>
    </w:pPr>
    <w:r>
      <w:rPr>
        <w:rStyle w:val="26"/>
      </w:rPr>
      <w:fldChar w:fldCharType="begin"/>
    </w:r>
    <w:r>
      <w:rPr>
        <w:rStyle w:val="26"/>
      </w:rPr>
      <w:instrText xml:space="preserve">PAGE  </w:instrText>
    </w:r>
    <w:r>
      <w:rPr>
        <w:rStyle w:val="26"/>
      </w:rPr>
      <w:fldChar w:fldCharType="separate"/>
    </w:r>
    <w:r>
      <w:rPr>
        <w:rStyle w:val="26"/>
      </w:rPr>
      <w:t>10</w:t>
    </w:r>
    <w:r>
      <w:rPr>
        <w:rStyle w:val="26"/>
      </w:rPr>
      <w:fldChar w:fldCharType="end"/>
    </w:r>
  </w:p>
  <w:p>
    <w:pPr>
      <w:pStyle w:val="20"/>
      <w:ind w:right="360"/>
      <w:jc w:val="right"/>
      <w:rPr>
        <w:b/>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w:pict>
        <v:shape id="文本框 23" o:spid="_x0000_s2049" o:spt="202" type="#_x0000_t202" style="position:absolute;left:0pt;margin-top:0pt;height:144pt;width:144pt;mso-position-horizontal:right;mso-position-horizontal-relative:margin;mso-wrap-style:none;z-index:1024;mso-width-relative:page;mso-height-relative:page;" filled="f" o:preferrelative="t" stroked="f" coordsize="21600,21600">
          <v:path/>
          <v:fill on="f" focussize="0,0"/>
          <v:stroke on="f" joinstyle="miter"/>
          <v:imagedata o:title=""/>
          <o:lock v:ext="edit"/>
          <v:textbox inset="0mm,0mm,0mm,0mm" style="mso-fit-shape-to-text:t;">
            <w:txbxContent>
              <w:p>
                <w:pPr>
                  <w:snapToGrid w:val="0"/>
                  <w:rPr>
                    <w:sz w:val="18"/>
                  </w:rPr>
                </w:pPr>
                <w:r>
                  <w:fldChar w:fldCharType="begin"/>
                </w:r>
                <w:r>
                  <w:instrText xml:space="preserve"> PAGE  \* MERGEFORMAT </w:instrText>
                </w:r>
                <w:r>
                  <w:fldChar w:fldCharType="separate"/>
                </w:r>
                <w:r>
                  <w:rPr>
                    <w:sz w:val="18"/>
                  </w:rPr>
                  <w:t>8</w:t>
                </w:r>
                <w:r>
                  <w:rPr>
                    <w:sz w:val="18"/>
                  </w:rPr>
                  <w:fldChar w:fldCharType="end"/>
                </w:r>
              </w:p>
            </w:txbxContent>
          </v:textbox>
        </v:shape>
      </w:pic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framePr w:wrap="around" w:vAnchor="text" w:hAnchor="margin" w:xAlign="right" w:y="1"/>
      <w:rPr>
        <w:rStyle w:val="26"/>
      </w:rPr>
    </w:pPr>
    <w:r>
      <w:rPr>
        <w:rStyle w:val="26"/>
      </w:rPr>
      <w:fldChar w:fldCharType="begin"/>
    </w:r>
    <w:r>
      <w:rPr>
        <w:rStyle w:val="26"/>
      </w:rPr>
      <w:instrText xml:space="preserve">PAGE  </w:instrText>
    </w:r>
    <w:r>
      <w:rPr>
        <w:rStyle w:val="26"/>
      </w:rPr>
      <w:fldChar w:fldCharType="separate"/>
    </w:r>
    <w:r>
      <w:rPr>
        <w:rStyle w:val="26"/>
      </w:rPr>
      <w:t>10</w:t>
    </w:r>
    <w:r>
      <w:rPr>
        <w:rStyle w:val="26"/>
      </w:rPr>
      <w:fldChar w:fldCharType="end"/>
    </w:r>
  </w:p>
  <w:p>
    <w:pPr>
      <w:ind w:right="360"/>
      <w:rPr>
        <w:rFonts w:ascii="Cambria" w:hAnsi="Cambria"/>
        <w:sz w:val="48"/>
        <w:szCs w:val="44"/>
      </w:rPr>
    </w:pPr>
  </w:p>
  <w:p>
    <w:pPr>
      <w:pStyle w:val="20"/>
      <w:jc w:val="right"/>
      <w:rPr>
        <w:b/>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framePr w:wrap="around" w:vAnchor="text" w:hAnchor="margin" w:xAlign="right" w:y="1"/>
      <w:rPr>
        <w:rStyle w:val="26"/>
      </w:rPr>
    </w:pPr>
    <w:r>
      <w:rPr>
        <w:rStyle w:val="26"/>
      </w:rPr>
      <w:fldChar w:fldCharType="begin"/>
    </w:r>
    <w:r>
      <w:rPr>
        <w:rStyle w:val="26"/>
      </w:rPr>
      <w:instrText xml:space="preserve">PAGE  </w:instrText>
    </w:r>
    <w:r>
      <w:rPr>
        <w:rStyle w:val="26"/>
      </w:rPr>
      <w:fldChar w:fldCharType="separate"/>
    </w:r>
    <w:r>
      <w:rPr>
        <w:rStyle w:val="26"/>
      </w:rPr>
      <w:t>12</w:t>
    </w:r>
    <w:r>
      <w:rPr>
        <w:rStyle w:val="26"/>
      </w:rPr>
      <w:fldChar w:fldCharType="end"/>
    </w:r>
  </w:p>
  <w:p>
    <w:pPr>
      <w:ind w:right="360"/>
      <w:jc w:val="right"/>
      <w:rPr>
        <w:rFonts w:ascii="Cambria" w:hAnsi="Cambria"/>
        <w:sz w:val="48"/>
        <w:szCs w:val="44"/>
      </w:rPr>
    </w:pPr>
  </w:p>
  <w:p>
    <w:pPr>
      <w:pStyle w:val="20"/>
      <w:jc w:val="right"/>
      <w:rPr>
        <w:b/>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framePr w:wrap="around" w:vAnchor="text" w:hAnchor="margin" w:xAlign="right" w:y="1"/>
      <w:rPr>
        <w:rStyle w:val="26"/>
      </w:rPr>
    </w:pPr>
    <w:r>
      <w:rPr>
        <w:rStyle w:val="26"/>
      </w:rPr>
      <w:fldChar w:fldCharType="begin"/>
    </w:r>
    <w:r>
      <w:rPr>
        <w:rStyle w:val="26"/>
      </w:rPr>
      <w:instrText xml:space="preserve">PAGE  </w:instrText>
    </w:r>
    <w:r>
      <w:rPr>
        <w:rStyle w:val="26"/>
      </w:rPr>
      <w:fldChar w:fldCharType="separate"/>
    </w:r>
    <w:r>
      <w:rPr>
        <w:rStyle w:val="26"/>
      </w:rPr>
      <w:t>33</w:t>
    </w:r>
    <w:r>
      <w:rPr>
        <w:rStyle w:val="26"/>
      </w:rPr>
      <w:fldChar w:fldCharType="end"/>
    </w:r>
  </w:p>
  <w:p>
    <w:pPr>
      <w:pStyle w:val="20"/>
      <w:ind w:right="360"/>
      <w:jc w:val="right"/>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Bdr>
        <w:bottom w:val="double" w:color="0000FF" w:sz="4" w:space="1"/>
      </w:pBdr>
      <w:jc w:val="both"/>
    </w:pPr>
    <w:r>
      <w:rPr>
        <w:rFonts w:hint="eastAsia" w:ascii="仿宋_GB2312" w:eastAsia="仿宋_GB2312"/>
      </w:rPr>
      <w:t>蔡甸碧桂园项目部</w:t>
    </w:r>
    <w:r>
      <w:rPr>
        <w:rFonts w:ascii="仿宋_GB2312" w:eastAsia="仿宋_GB2312"/>
      </w:rPr>
      <w:t xml:space="preserve">                                                                   </w:t>
    </w:r>
    <w:r>
      <w:rPr>
        <w:rFonts w:hint="eastAsia" w:ascii="仿宋_GB2312" w:eastAsia="仿宋_GB2312"/>
        <w:sz w:val="21"/>
        <w:szCs w:val="21"/>
      </w:rPr>
      <w:t>施工技术文件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multilevel"/>
    <w:tmpl w:val="00000004"/>
    <w:lvl w:ilvl="0" w:tentative="0">
      <w:start w:val="1"/>
      <w:numFmt w:val="decimal"/>
      <w:lvlText w:val="%1、"/>
      <w:lvlJc w:val="left"/>
      <w:pPr>
        <w:tabs>
          <w:tab w:val="left" w:pos="1080"/>
        </w:tabs>
        <w:ind w:left="1080" w:hanging="360"/>
      </w:pPr>
      <w:rPr>
        <w:rFonts w:hint="default" w:cs="Times New Roman"/>
      </w:rPr>
    </w:lvl>
    <w:lvl w:ilvl="1" w:tentative="0">
      <w:start w:val="1"/>
      <w:numFmt w:val="lowerLetter"/>
      <w:lvlText w:val="%2)"/>
      <w:lvlJc w:val="left"/>
      <w:pPr>
        <w:tabs>
          <w:tab w:val="left" w:pos="1680"/>
        </w:tabs>
        <w:ind w:left="1680" w:hanging="420"/>
      </w:pPr>
      <w:rPr>
        <w:rFonts w:cs="Times New Roman"/>
      </w:rPr>
    </w:lvl>
    <w:lvl w:ilvl="2" w:tentative="0">
      <w:start w:val="1"/>
      <w:numFmt w:val="lowerRoman"/>
      <w:lvlText w:val="%3."/>
      <w:lvlJc w:val="right"/>
      <w:pPr>
        <w:tabs>
          <w:tab w:val="left" w:pos="2100"/>
        </w:tabs>
        <w:ind w:left="2100" w:hanging="420"/>
      </w:pPr>
      <w:rPr>
        <w:rFonts w:cs="Times New Roman"/>
      </w:rPr>
    </w:lvl>
    <w:lvl w:ilvl="3" w:tentative="0">
      <w:start w:val="1"/>
      <w:numFmt w:val="decimal"/>
      <w:lvlText w:val="%4."/>
      <w:lvlJc w:val="left"/>
      <w:pPr>
        <w:tabs>
          <w:tab w:val="left" w:pos="2520"/>
        </w:tabs>
        <w:ind w:left="2520" w:hanging="420"/>
      </w:pPr>
      <w:rPr>
        <w:rFonts w:cs="Times New Roman"/>
      </w:rPr>
    </w:lvl>
    <w:lvl w:ilvl="4" w:tentative="0">
      <w:start w:val="1"/>
      <w:numFmt w:val="lowerLetter"/>
      <w:lvlText w:val="%5)"/>
      <w:lvlJc w:val="left"/>
      <w:pPr>
        <w:tabs>
          <w:tab w:val="left" w:pos="2940"/>
        </w:tabs>
        <w:ind w:left="2940" w:hanging="420"/>
      </w:pPr>
      <w:rPr>
        <w:rFonts w:cs="Times New Roman"/>
      </w:rPr>
    </w:lvl>
    <w:lvl w:ilvl="5" w:tentative="0">
      <w:start w:val="1"/>
      <w:numFmt w:val="lowerRoman"/>
      <w:lvlText w:val="%6."/>
      <w:lvlJc w:val="right"/>
      <w:pPr>
        <w:tabs>
          <w:tab w:val="left" w:pos="3360"/>
        </w:tabs>
        <w:ind w:left="3360" w:hanging="420"/>
      </w:pPr>
      <w:rPr>
        <w:rFonts w:cs="Times New Roman"/>
      </w:rPr>
    </w:lvl>
    <w:lvl w:ilvl="6" w:tentative="0">
      <w:start w:val="1"/>
      <w:numFmt w:val="decimal"/>
      <w:lvlText w:val="%7."/>
      <w:lvlJc w:val="left"/>
      <w:pPr>
        <w:tabs>
          <w:tab w:val="left" w:pos="3780"/>
        </w:tabs>
        <w:ind w:left="3780" w:hanging="420"/>
      </w:pPr>
      <w:rPr>
        <w:rFonts w:cs="Times New Roman"/>
      </w:rPr>
    </w:lvl>
    <w:lvl w:ilvl="7" w:tentative="0">
      <w:start w:val="1"/>
      <w:numFmt w:val="lowerLetter"/>
      <w:lvlText w:val="%8)"/>
      <w:lvlJc w:val="left"/>
      <w:pPr>
        <w:tabs>
          <w:tab w:val="left" w:pos="4200"/>
        </w:tabs>
        <w:ind w:left="4200" w:hanging="420"/>
      </w:pPr>
      <w:rPr>
        <w:rFonts w:cs="Times New Roman"/>
      </w:rPr>
    </w:lvl>
    <w:lvl w:ilvl="8" w:tentative="0">
      <w:start w:val="1"/>
      <w:numFmt w:val="lowerRoman"/>
      <w:lvlText w:val="%9."/>
      <w:lvlJc w:val="right"/>
      <w:pPr>
        <w:tabs>
          <w:tab w:val="left" w:pos="4620"/>
        </w:tabs>
        <w:ind w:left="4620" w:hanging="420"/>
      </w:pPr>
      <w:rPr>
        <w:rFonts w:cs="Times New Roman"/>
      </w:rPr>
    </w:lvl>
  </w:abstractNum>
  <w:abstractNum w:abstractNumId="1">
    <w:nsid w:val="00000008"/>
    <w:multiLevelType w:val="singleLevel"/>
    <w:tmpl w:val="00000008"/>
    <w:lvl w:ilvl="0" w:tentative="0">
      <w:start w:val="5"/>
      <w:numFmt w:val="decimal"/>
      <w:suff w:val="nothing"/>
      <w:lvlText w:val="%1、"/>
      <w:lvlJc w:val="left"/>
      <w:rPr>
        <w:rFonts w:cs="Times New Roman"/>
      </w:rPr>
    </w:lvl>
  </w:abstractNum>
  <w:abstractNum w:abstractNumId="2">
    <w:nsid w:val="0E3F45B6"/>
    <w:multiLevelType w:val="multilevel"/>
    <w:tmpl w:val="0E3F45B6"/>
    <w:lvl w:ilvl="0" w:tentative="0">
      <w:start w:val="1"/>
      <w:numFmt w:val="decimal"/>
      <w:lvlText w:val="%1)"/>
      <w:lvlJc w:val="left"/>
      <w:pPr>
        <w:ind w:left="900" w:hanging="420"/>
      </w:pPr>
      <w:rPr>
        <w:rFonts w:hint="eastAsia" w:cs="Times New Roman"/>
      </w:rPr>
    </w:lvl>
    <w:lvl w:ilvl="1" w:tentative="0">
      <w:start w:val="1"/>
      <w:numFmt w:val="lowerLetter"/>
      <w:lvlText w:val="%2)"/>
      <w:lvlJc w:val="left"/>
      <w:pPr>
        <w:ind w:left="1320" w:hanging="420"/>
      </w:pPr>
      <w:rPr>
        <w:rFonts w:cs="Times New Roman"/>
      </w:rPr>
    </w:lvl>
    <w:lvl w:ilvl="2" w:tentative="0">
      <w:start w:val="1"/>
      <w:numFmt w:val="lowerRoman"/>
      <w:lvlText w:val="%3."/>
      <w:lvlJc w:val="right"/>
      <w:pPr>
        <w:ind w:left="1740" w:hanging="420"/>
      </w:pPr>
      <w:rPr>
        <w:rFonts w:cs="Times New Roman"/>
      </w:rPr>
    </w:lvl>
    <w:lvl w:ilvl="3" w:tentative="0">
      <w:start w:val="1"/>
      <w:numFmt w:val="decimal"/>
      <w:lvlText w:val="%4."/>
      <w:lvlJc w:val="left"/>
      <w:pPr>
        <w:ind w:left="2160" w:hanging="420"/>
      </w:pPr>
      <w:rPr>
        <w:rFonts w:cs="Times New Roman"/>
      </w:rPr>
    </w:lvl>
    <w:lvl w:ilvl="4" w:tentative="0">
      <w:start w:val="1"/>
      <w:numFmt w:val="lowerLetter"/>
      <w:lvlText w:val="%5)"/>
      <w:lvlJc w:val="left"/>
      <w:pPr>
        <w:ind w:left="2580" w:hanging="420"/>
      </w:pPr>
      <w:rPr>
        <w:rFonts w:cs="Times New Roman"/>
      </w:rPr>
    </w:lvl>
    <w:lvl w:ilvl="5" w:tentative="0">
      <w:start w:val="1"/>
      <w:numFmt w:val="lowerRoman"/>
      <w:lvlText w:val="%6."/>
      <w:lvlJc w:val="right"/>
      <w:pPr>
        <w:ind w:left="3000" w:hanging="420"/>
      </w:pPr>
      <w:rPr>
        <w:rFonts w:cs="Times New Roman"/>
      </w:rPr>
    </w:lvl>
    <w:lvl w:ilvl="6" w:tentative="0">
      <w:start w:val="1"/>
      <w:numFmt w:val="decimal"/>
      <w:lvlText w:val="%7."/>
      <w:lvlJc w:val="left"/>
      <w:pPr>
        <w:ind w:left="3420" w:hanging="420"/>
      </w:pPr>
      <w:rPr>
        <w:rFonts w:cs="Times New Roman"/>
      </w:rPr>
    </w:lvl>
    <w:lvl w:ilvl="7" w:tentative="0">
      <w:start w:val="1"/>
      <w:numFmt w:val="lowerLetter"/>
      <w:lvlText w:val="%8)"/>
      <w:lvlJc w:val="left"/>
      <w:pPr>
        <w:ind w:left="3840" w:hanging="420"/>
      </w:pPr>
      <w:rPr>
        <w:rFonts w:cs="Times New Roman"/>
      </w:rPr>
    </w:lvl>
    <w:lvl w:ilvl="8" w:tentative="0">
      <w:start w:val="1"/>
      <w:numFmt w:val="lowerRoman"/>
      <w:lvlText w:val="%9."/>
      <w:lvlJc w:val="right"/>
      <w:pPr>
        <w:ind w:left="4260" w:hanging="420"/>
      </w:pPr>
      <w:rPr>
        <w:rFonts w:cs="Times New Roman"/>
      </w:rPr>
    </w:lvl>
  </w:abstractNum>
  <w:abstractNum w:abstractNumId="3">
    <w:nsid w:val="0FD62E43"/>
    <w:multiLevelType w:val="multilevel"/>
    <w:tmpl w:val="0FD62E43"/>
    <w:lvl w:ilvl="0" w:tentative="0">
      <w:start w:val="1"/>
      <w:numFmt w:val="decimal"/>
      <w:lvlText w:val="%1)"/>
      <w:lvlJc w:val="left"/>
      <w:pPr>
        <w:ind w:left="900" w:hanging="420"/>
      </w:pPr>
      <w:rPr>
        <w:rFonts w:hint="eastAsia" w:cs="Times New Roman"/>
      </w:rPr>
    </w:lvl>
    <w:lvl w:ilvl="1" w:tentative="0">
      <w:start w:val="1"/>
      <w:numFmt w:val="lowerLetter"/>
      <w:lvlText w:val="%2)"/>
      <w:lvlJc w:val="left"/>
      <w:pPr>
        <w:ind w:left="1320" w:hanging="420"/>
      </w:pPr>
      <w:rPr>
        <w:rFonts w:cs="Times New Roman"/>
      </w:rPr>
    </w:lvl>
    <w:lvl w:ilvl="2" w:tentative="0">
      <w:start w:val="1"/>
      <w:numFmt w:val="lowerRoman"/>
      <w:lvlText w:val="%3."/>
      <w:lvlJc w:val="right"/>
      <w:pPr>
        <w:ind w:left="1740" w:hanging="420"/>
      </w:pPr>
      <w:rPr>
        <w:rFonts w:cs="Times New Roman"/>
      </w:rPr>
    </w:lvl>
    <w:lvl w:ilvl="3" w:tentative="0">
      <w:start w:val="1"/>
      <w:numFmt w:val="decimal"/>
      <w:lvlText w:val="%4."/>
      <w:lvlJc w:val="left"/>
      <w:pPr>
        <w:ind w:left="2160" w:hanging="420"/>
      </w:pPr>
      <w:rPr>
        <w:rFonts w:cs="Times New Roman"/>
      </w:rPr>
    </w:lvl>
    <w:lvl w:ilvl="4" w:tentative="0">
      <w:start w:val="1"/>
      <w:numFmt w:val="lowerLetter"/>
      <w:lvlText w:val="%5)"/>
      <w:lvlJc w:val="left"/>
      <w:pPr>
        <w:ind w:left="2580" w:hanging="420"/>
      </w:pPr>
      <w:rPr>
        <w:rFonts w:cs="Times New Roman"/>
      </w:rPr>
    </w:lvl>
    <w:lvl w:ilvl="5" w:tentative="0">
      <w:start w:val="1"/>
      <w:numFmt w:val="lowerRoman"/>
      <w:lvlText w:val="%6."/>
      <w:lvlJc w:val="right"/>
      <w:pPr>
        <w:ind w:left="3000" w:hanging="420"/>
      </w:pPr>
      <w:rPr>
        <w:rFonts w:cs="Times New Roman"/>
      </w:rPr>
    </w:lvl>
    <w:lvl w:ilvl="6" w:tentative="0">
      <w:start w:val="1"/>
      <w:numFmt w:val="decimal"/>
      <w:lvlText w:val="%7."/>
      <w:lvlJc w:val="left"/>
      <w:pPr>
        <w:ind w:left="3420" w:hanging="420"/>
      </w:pPr>
      <w:rPr>
        <w:rFonts w:cs="Times New Roman"/>
      </w:rPr>
    </w:lvl>
    <w:lvl w:ilvl="7" w:tentative="0">
      <w:start w:val="1"/>
      <w:numFmt w:val="lowerLetter"/>
      <w:lvlText w:val="%8)"/>
      <w:lvlJc w:val="left"/>
      <w:pPr>
        <w:ind w:left="3840" w:hanging="420"/>
      </w:pPr>
      <w:rPr>
        <w:rFonts w:cs="Times New Roman"/>
      </w:rPr>
    </w:lvl>
    <w:lvl w:ilvl="8" w:tentative="0">
      <w:start w:val="1"/>
      <w:numFmt w:val="lowerRoman"/>
      <w:lvlText w:val="%9."/>
      <w:lvlJc w:val="right"/>
      <w:pPr>
        <w:ind w:left="4260" w:hanging="420"/>
      </w:pPr>
      <w:rPr>
        <w:rFonts w:cs="Times New Roman"/>
      </w:rPr>
    </w:lvl>
  </w:abstractNum>
  <w:abstractNum w:abstractNumId="4">
    <w:nsid w:val="105654EA"/>
    <w:multiLevelType w:val="multilevel"/>
    <w:tmpl w:val="105654EA"/>
    <w:lvl w:ilvl="0" w:tentative="0">
      <w:start w:val="1"/>
      <w:numFmt w:val="decimal"/>
      <w:lvlText w:val="%1)"/>
      <w:lvlJc w:val="left"/>
      <w:pPr>
        <w:ind w:left="900" w:hanging="420"/>
      </w:pPr>
      <w:rPr>
        <w:rFonts w:hint="eastAsia" w:cs="Times New Roman"/>
      </w:rPr>
    </w:lvl>
    <w:lvl w:ilvl="1" w:tentative="0">
      <w:start w:val="1"/>
      <w:numFmt w:val="lowerLetter"/>
      <w:lvlText w:val="%2)"/>
      <w:lvlJc w:val="left"/>
      <w:pPr>
        <w:ind w:left="1320" w:hanging="420"/>
      </w:pPr>
      <w:rPr>
        <w:rFonts w:cs="Times New Roman"/>
      </w:rPr>
    </w:lvl>
    <w:lvl w:ilvl="2" w:tentative="0">
      <w:start w:val="1"/>
      <w:numFmt w:val="lowerRoman"/>
      <w:lvlText w:val="%3."/>
      <w:lvlJc w:val="right"/>
      <w:pPr>
        <w:ind w:left="1740" w:hanging="420"/>
      </w:pPr>
      <w:rPr>
        <w:rFonts w:cs="Times New Roman"/>
      </w:rPr>
    </w:lvl>
    <w:lvl w:ilvl="3" w:tentative="0">
      <w:start w:val="1"/>
      <w:numFmt w:val="decimal"/>
      <w:lvlText w:val="%4."/>
      <w:lvlJc w:val="left"/>
      <w:pPr>
        <w:ind w:left="2160" w:hanging="420"/>
      </w:pPr>
      <w:rPr>
        <w:rFonts w:cs="Times New Roman"/>
      </w:rPr>
    </w:lvl>
    <w:lvl w:ilvl="4" w:tentative="0">
      <w:start w:val="1"/>
      <w:numFmt w:val="lowerLetter"/>
      <w:lvlText w:val="%5)"/>
      <w:lvlJc w:val="left"/>
      <w:pPr>
        <w:ind w:left="2580" w:hanging="420"/>
      </w:pPr>
      <w:rPr>
        <w:rFonts w:cs="Times New Roman"/>
      </w:rPr>
    </w:lvl>
    <w:lvl w:ilvl="5" w:tentative="0">
      <w:start w:val="1"/>
      <w:numFmt w:val="lowerRoman"/>
      <w:lvlText w:val="%6."/>
      <w:lvlJc w:val="right"/>
      <w:pPr>
        <w:ind w:left="3000" w:hanging="420"/>
      </w:pPr>
      <w:rPr>
        <w:rFonts w:cs="Times New Roman"/>
      </w:rPr>
    </w:lvl>
    <w:lvl w:ilvl="6" w:tentative="0">
      <w:start w:val="1"/>
      <w:numFmt w:val="decimal"/>
      <w:lvlText w:val="%7."/>
      <w:lvlJc w:val="left"/>
      <w:pPr>
        <w:ind w:left="3420" w:hanging="420"/>
      </w:pPr>
      <w:rPr>
        <w:rFonts w:cs="Times New Roman"/>
      </w:rPr>
    </w:lvl>
    <w:lvl w:ilvl="7" w:tentative="0">
      <w:start w:val="1"/>
      <w:numFmt w:val="lowerLetter"/>
      <w:lvlText w:val="%8)"/>
      <w:lvlJc w:val="left"/>
      <w:pPr>
        <w:ind w:left="3840" w:hanging="420"/>
      </w:pPr>
      <w:rPr>
        <w:rFonts w:cs="Times New Roman"/>
      </w:rPr>
    </w:lvl>
    <w:lvl w:ilvl="8" w:tentative="0">
      <w:start w:val="1"/>
      <w:numFmt w:val="lowerRoman"/>
      <w:lvlText w:val="%9."/>
      <w:lvlJc w:val="right"/>
      <w:pPr>
        <w:ind w:left="4260" w:hanging="420"/>
      </w:pPr>
      <w:rPr>
        <w:rFonts w:cs="Times New Roman"/>
      </w:rPr>
    </w:lvl>
  </w:abstractNum>
  <w:abstractNum w:abstractNumId="5">
    <w:nsid w:val="28BC69F5"/>
    <w:multiLevelType w:val="multilevel"/>
    <w:tmpl w:val="28BC69F5"/>
    <w:lvl w:ilvl="0" w:tentative="0">
      <w:start w:val="1"/>
      <w:numFmt w:val="decimal"/>
      <w:lvlText w:val="%1)"/>
      <w:lvlJc w:val="left"/>
      <w:pPr>
        <w:tabs>
          <w:tab w:val="left" w:pos="980"/>
        </w:tabs>
        <w:ind w:left="980" w:hanging="420"/>
      </w:pPr>
      <w:rPr>
        <w:rFonts w:cs="Times New Roman"/>
      </w:rPr>
    </w:lvl>
    <w:lvl w:ilvl="1" w:tentative="0">
      <w:start w:val="1"/>
      <w:numFmt w:val="lowerLetter"/>
      <w:lvlText w:val="%2)"/>
      <w:lvlJc w:val="left"/>
      <w:pPr>
        <w:tabs>
          <w:tab w:val="left" w:pos="1400"/>
        </w:tabs>
        <w:ind w:left="1400" w:hanging="420"/>
      </w:pPr>
      <w:rPr>
        <w:rFonts w:cs="Times New Roman"/>
      </w:rPr>
    </w:lvl>
    <w:lvl w:ilvl="2" w:tentative="0">
      <w:start w:val="1"/>
      <w:numFmt w:val="lowerRoman"/>
      <w:lvlText w:val="%3."/>
      <w:lvlJc w:val="right"/>
      <w:pPr>
        <w:tabs>
          <w:tab w:val="left" w:pos="1820"/>
        </w:tabs>
        <w:ind w:left="1820" w:hanging="420"/>
      </w:pPr>
      <w:rPr>
        <w:rFonts w:cs="Times New Roman"/>
      </w:rPr>
    </w:lvl>
    <w:lvl w:ilvl="3" w:tentative="0">
      <w:start w:val="1"/>
      <w:numFmt w:val="decimal"/>
      <w:lvlText w:val="%4."/>
      <w:lvlJc w:val="left"/>
      <w:pPr>
        <w:tabs>
          <w:tab w:val="left" w:pos="2240"/>
        </w:tabs>
        <w:ind w:left="2240" w:hanging="420"/>
      </w:pPr>
      <w:rPr>
        <w:rFonts w:cs="Times New Roman"/>
      </w:rPr>
    </w:lvl>
    <w:lvl w:ilvl="4" w:tentative="0">
      <w:start w:val="1"/>
      <w:numFmt w:val="lowerLetter"/>
      <w:lvlText w:val="%5)"/>
      <w:lvlJc w:val="left"/>
      <w:pPr>
        <w:tabs>
          <w:tab w:val="left" w:pos="2660"/>
        </w:tabs>
        <w:ind w:left="2660" w:hanging="420"/>
      </w:pPr>
      <w:rPr>
        <w:rFonts w:cs="Times New Roman"/>
      </w:rPr>
    </w:lvl>
    <w:lvl w:ilvl="5" w:tentative="0">
      <w:start w:val="1"/>
      <w:numFmt w:val="lowerRoman"/>
      <w:lvlText w:val="%6."/>
      <w:lvlJc w:val="right"/>
      <w:pPr>
        <w:tabs>
          <w:tab w:val="left" w:pos="3080"/>
        </w:tabs>
        <w:ind w:left="3080" w:hanging="420"/>
      </w:pPr>
      <w:rPr>
        <w:rFonts w:cs="Times New Roman"/>
      </w:rPr>
    </w:lvl>
    <w:lvl w:ilvl="6" w:tentative="0">
      <w:start w:val="1"/>
      <w:numFmt w:val="decimal"/>
      <w:lvlText w:val="%7."/>
      <w:lvlJc w:val="left"/>
      <w:pPr>
        <w:tabs>
          <w:tab w:val="left" w:pos="3500"/>
        </w:tabs>
        <w:ind w:left="3500" w:hanging="420"/>
      </w:pPr>
      <w:rPr>
        <w:rFonts w:cs="Times New Roman"/>
      </w:rPr>
    </w:lvl>
    <w:lvl w:ilvl="7" w:tentative="0">
      <w:start w:val="1"/>
      <w:numFmt w:val="lowerLetter"/>
      <w:lvlText w:val="%8)"/>
      <w:lvlJc w:val="left"/>
      <w:pPr>
        <w:tabs>
          <w:tab w:val="left" w:pos="3920"/>
        </w:tabs>
        <w:ind w:left="3920" w:hanging="420"/>
      </w:pPr>
      <w:rPr>
        <w:rFonts w:cs="Times New Roman"/>
      </w:rPr>
    </w:lvl>
    <w:lvl w:ilvl="8" w:tentative="0">
      <w:start w:val="1"/>
      <w:numFmt w:val="lowerRoman"/>
      <w:lvlText w:val="%9."/>
      <w:lvlJc w:val="right"/>
      <w:pPr>
        <w:tabs>
          <w:tab w:val="left" w:pos="4340"/>
        </w:tabs>
        <w:ind w:left="4340" w:hanging="420"/>
      </w:pPr>
      <w:rPr>
        <w:rFonts w:cs="Times New Roman"/>
      </w:rPr>
    </w:lvl>
  </w:abstractNum>
  <w:abstractNum w:abstractNumId="6">
    <w:nsid w:val="32DC5C68"/>
    <w:multiLevelType w:val="multilevel"/>
    <w:tmpl w:val="32DC5C68"/>
    <w:lvl w:ilvl="0" w:tentative="0">
      <w:start w:val="1"/>
      <w:numFmt w:val="decimal"/>
      <w:lvlText w:val="%1)"/>
      <w:lvlJc w:val="left"/>
      <w:pPr>
        <w:ind w:left="900" w:hanging="420"/>
      </w:pPr>
      <w:rPr>
        <w:rFonts w:hint="eastAsia" w:cs="Times New Roman"/>
      </w:rPr>
    </w:lvl>
    <w:lvl w:ilvl="1" w:tentative="0">
      <w:start w:val="1"/>
      <w:numFmt w:val="lowerLetter"/>
      <w:lvlText w:val="%2)"/>
      <w:lvlJc w:val="left"/>
      <w:pPr>
        <w:ind w:left="1320" w:hanging="420"/>
      </w:pPr>
      <w:rPr>
        <w:rFonts w:cs="Times New Roman"/>
      </w:rPr>
    </w:lvl>
    <w:lvl w:ilvl="2" w:tentative="0">
      <w:start w:val="1"/>
      <w:numFmt w:val="lowerRoman"/>
      <w:lvlText w:val="%3."/>
      <w:lvlJc w:val="right"/>
      <w:pPr>
        <w:ind w:left="1740" w:hanging="420"/>
      </w:pPr>
      <w:rPr>
        <w:rFonts w:cs="Times New Roman"/>
      </w:rPr>
    </w:lvl>
    <w:lvl w:ilvl="3" w:tentative="0">
      <w:start w:val="1"/>
      <w:numFmt w:val="decimal"/>
      <w:lvlText w:val="%4."/>
      <w:lvlJc w:val="left"/>
      <w:pPr>
        <w:ind w:left="2160" w:hanging="420"/>
      </w:pPr>
      <w:rPr>
        <w:rFonts w:cs="Times New Roman"/>
      </w:rPr>
    </w:lvl>
    <w:lvl w:ilvl="4" w:tentative="0">
      <w:start w:val="1"/>
      <w:numFmt w:val="lowerLetter"/>
      <w:lvlText w:val="%5)"/>
      <w:lvlJc w:val="left"/>
      <w:pPr>
        <w:ind w:left="2580" w:hanging="420"/>
      </w:pPr>
      <w:rPr>
        <w:rFonts w:cs="Times New Roman"/>
      </w:rPr>
    </w:lvl>
    <w:lvl w:ilvl="5" w:tentative="0">
      <w:start w:val="1"/>
      <w:numFmt w:val="lowerRoman"/>
      <w:lvlText w:val="%6."/>
      <w:lvlJc w:val="right"/>
      <w:pPr>
        <w:ind w:left="3000" w:hanging="420"/>
      </w:pPr>
      <w:rPr>
        <w:rFonts w:cs="Times New Roman"/>
      </w:rPr>
    </w:lvl>
    <w:lvl w:ilvl="6" w:tentative="0">
      <w:start w:val="1"/>
      <w:numFmt w:val="decimal"/>
      <w:lvlText w:val="%7."/>
      <w:lvlJc w:val="left"/>
      <w:pPr>
        <w:ind w:left="3420" w:hanging="420"/>
      </w:pPr>
      <w:rPr>
        <w:rFonts w:cs="Times New Roman"/>
      </w:rPr>
    </w:lvl>
    <w:lvl w:ilvl="7" w:tentative="0">
      <w:start w:val="1"/>
      <w:numFmt w:val="lowerLetter"/>
      <w:lvlText w:val="%8)"/>
      <w:lvlJc w:val="left"/>
      <w:pPr>
        <w:ind w:left="3840" w:hanging="420"/>
      </w:pPr>
      <w:rPr>
        <w:rFonts w:cs="Times New Roman"/>
      </w:rPr>
    </w:lvl>
    <w:lvl w:ilvl="8" w:tentative="0">
      <w:start w:val="1"/>
      <w:numFmt w:val="lowerRoman"/>
      <w:lvlText w:val="%9."/>
      <w:lvlJc w:val="right"/>
      <w:pPr>
        <w:ind w:left="4260" w:hanging="420"/>
      </w:pPr>
      <w:rPr>
        <w:rFonts w:cs="Times New Roman"/>
      </w:rPr>
    </w:lvl>
  </w:abstractNum>
  <w:abstractNum w:abstractNumId="7">
    <w:nsid w:val="343F019F"/>
    <w:multiLevelType w:val="multilevel"/>
    <w:tmpl w:val="343F019F"/>
    <w:lvl w:ilvl="0" w:tentative="0">
      <w:start w:val="1"/>
      <w:numFmt w:val="decimal"/>
      <w:lvlText w:val="%1)"/>
      <w:lvlJc w:val="left"/>
      <w:pPr>
        <w:ind w:left="1011" w:hanging="420"/>
      </w:pPr>
      <w:rPr>
        <w:rFonts w:hint="eastAsia" w:cs="Times New Roman"/>
      </w:rPr>
    </w:lvl>
    <w:lvl w:ilvl="1" w:tentative="0">
      <w:start w:val="1"/>
      <w:numFmt w:val="lowerLetter"/>
      <w:lvlText w:val="%2)"/>
      <w:lvlJc w:val="left"/>
      <w:pPr>
        <w:ind w:left="1431" w:hanging="420"/>
      </w:pPr>
      <w:rPr>
        <w:rFonts w:cs="Times New Roman"/>
      </w:rPr>
    </w:lvl>
    <w:lvl w:ilvl="2" w:tentative="0">
      <w:start w:val="1"/>
      <w:numFmt w:val="lowerRoman"/>
      <w:lvlText w:val="%3."/>
      <w:lvlJc w:val="right"/>
      <w:pPr>
        <w:ind w:left="1851" w:hanging="420"/>
      </w:pPr>
      <w:rPr>
        <w:rFonts w:cs="Times New Roman"/>
      </w:rPr>
    </w:lvl>
    <w:lvl w:ilvl="3" w:tentative="0">
      <w:start w:val="1"/>
      <w:numFmt w:val="decimal"/>
      <w:lvlText w:val="%4."/>
      <w:lvlJc w:val="left"/>
      <w:pPr>
        <w:ind w:left="2271" w:hanging="420"/>
      </w:pPr>
      <w:rPr>
        <w:rFonts w:cs="Times New Roman"/>
      </w:rPr>
    </w:lvl>
    <w:lvl w:ilvl="4" w:tentative="0">
      <w:start w:val="1"/>
      <w:numFmt w:val="lowerLetter"/>
      <w:lvlText w:val="%5)"/>
      <w:lvlJc w:val="left"/>
      <w:pPr>
        <w:ind w:left="2691" w:hanging="420"/>
      </w:pPr>
      <w:rPr>
        <w:rFonts w:cs="Times New Roman"/>
      </w:rPr>
    </w:lvl>
    <w:lvl w:ilvl="5" w:tentative="0">
      <w:start w:val="1"/>
      <w:numFmt w:val="lowerRoman"/>
      <w:lvlText w:val="%6."/>
      <w:lvlJc w:val="right"/>
      <w:pPr>
        <w:ind w:left="3111" w:hanging="420"/>
      </w:pPr>
      <w:rPr>
        <w:rFonts w:cs="Times New Roman"/>
      </w:rPr>
    </w:lvl>
    <w:lvl w:ilvl="6" w:tentative="0">
      <w:start w:val="1"/>
      <w:numFmt w:val="decimal"/>
      <w:lvlText w:val="%7."/>
      <w:lvlJc w:val="left"/>
      <w:pPr>
        <w:ind w:left="3531" w:hanging="420"/>
      </w:pPr>
      <w:rPr>
        <w:rFonts w:cs="Times New Roman"/>
      </w:rPr>
    </w:lvl>
    <w:lvl w:ilvl="7" w:tentative="0">
      <w:start w:val="1"/>
      <w:numFmt w:val="lowerLetter"/>
      <w:lvlText w:val="%8)"/>
      <w:lvlJc w:val="left"/>
      <w:pPr>
        <w:ind w:left="3951" w:hanging="420"/>
      </w:pPr>
      <w:rPr>
        <w:rFonts w:cs="Times New Roman"/>
      </w:rPr>
    </w:lvl>
    <w:lvl w:ilvl="8" w:tentative="0">
      <w:start w:val="1"/>
      <w:numFmt w:val="lowerRoman"/>
      <w:lvlText w:val="%9."/>
      <w:lvlJc w:val="right"/>
      <w:pPr>
        <w:ind w:left="4371" w:hanging="420"/>
      </w:pPr>
      <w:rPr>
        <w:rFonts w:cs="Times New Roman"/>
      </w:rPr>
    </w:lvl>
  </w:abstractNum>
  <w:abstractNum w:abstractNumId="8">
    <w:nsid w:val="3D773D60"/>
    <w:multiLevelType w:val="multilevel"/>
    <w:tmpl w:val="3D773D60"/>
    <w:lvl w:ilvl="0" w:tentative="0">
      <w:start w:val="1"/>
      <w:numFmt w:val="decimal"/>
      <w:lvlText w:val="%1)"/>
      <w:lvlJc w:val="left"/>
      <w:pPr>
        <w:ind w:left="900" w:hanging="420"/>
      </w:pPr>
      <w:rPr>
        <w:rFonts w:hint="eastAsia" w:cs="Times New Roman"/>
      </w:rPr>
    </w:lvl>
    <w:lvl w:ilvl="1" w:tentative="0">
      <w:start w:val="1"/>
      <w:numFmt w:val="lowerLetter"/>
      <w:lvlText w:val="%2)"/>
      <w:lvlJc w:val="left"/>
      <w:pPr>
        <w:ind w:left="1320" w:hanging="420"/>
      </w:pPr>
      <w:rPr>
        <w:rFonts w:cs="Times New Roman"/>
      </w:rPr>
    </w:lvl>
    <w:lvl w:ilvl="2" w:tentative="0">
      <w:start w:val="1"/>
      <w:numFmt w:val="lowerRoman"/>
      <w:lvlText w:val="%3."/>
      <w:lvlJc w:val="right"/>
      <w:pPr>
        <w:ind w:left="1740" w:hanging="420"/>
      </w:pPr>
      <w:rPr>
        <w:rFonts w:cs="Times New Roman"/>
      </w:rPr>
    </w:lvl>
    <w:lvl w:ilvl="3" w:tentative="0">
      <w:start w:val="1"/>
      <w:numFmt w:val="decimal"/>
      <w:lvlText w:val="%4."/>
      <w:lvlJc w:val="left"/>
      <w:pPr>
        <w:ind w:left="2160" w:hanging="420"/>
      </w:pPr>
      <w:rPr>
        <w:rFonts w:cs="Times New Roman"/>
      </w:rPr>
    </w:lvl>
    <w:lvl w:ilvl="4" w:tentative="0">
      <w:start w:val="1"/>
      <w:numFmt w:val="lowerLetter"/>
      <w:lvlText w:val="%5)"/>
      <w:lvlJc w:val="left"/>
      <w:pPr>
        <w:ind w:left="2580" w:hanging="420"/>
      </w:pPr>
      <w:rPr>
        <w:rFonts w:cs="Times New Roman"/>
      </w:rPr>
    </w:lvl>
    <w:lvl w:ilvl="5" w:tentative="0">
      <w:start w:val="1"/>
      <w:numFmt w:val="lowerRoman"/>
      <w:lvlText w:val="%6."/>
      <w:lvlJc w:val="right"/>
      <w:pPr>
        <w:ind w:left="3000" w:hanging="420"/>
      </w:pPr>
      <w:rPr>
        <w:rFonts w:cs="Times New Roman"/>
      </w:rPr>
    </w:lvl>
    <w:lvl w:ilvl="6" w:tentative="0">
      <w:start w:val="1"/>
      <w:numFmt w:val="decimal"/>
      <w:lvlText w:val="%7."/>
      <w:lvlJc w:val="left"/>
      <w:pPr>
        <w:ind w:left="3420" w:hanging="420"/>
      </w:pPr>
      <w:rPr>
        <w:rFonts w:cs="Times New Roman"/>
      </w:rPr>
    </w:lvl>
    <w:lvl w:ilvl="7" w:tentative="0">
      <w:start w:val="1"/>
      <w:numFmt w:val="lowerLetter"/>
      <w:lvlText w:val="%8)"/>
      <w:lvlJc w:val="left"/>
      <w:pPr>
        <w:ind w:left="3840" w:hanging="420"/>
      </w:pPr>
      <w:rPr>
        <w:rFonts w:cs="Times New Roman"/>
      </w:rPr>
    </w:lvl>
    <w:lvl w:ilvl="8" w:tentative="0">
      <w:start w:val="1"/>
      <w:numFmt w:val="lowerRoman"/>
      <w:lvlText w:val="%9."/>
      <w:lvlJc w:val="right"/>
      <w:pPr>
        <w:ind w:left="4260" w:hanging="420"/>
      </w:pPr>
      <w:rPr>
        <w:rFonts w:cs="Times New Roman"/>
      </w:rPr>
    </w:lvl>
  </w:abstractNum>
  <w:abstractNum w:abstractNumId="9">
    <w:nsid w:val="4BF35DC8"/>
    <w:multiLevelType w:val="multilevel"/>
    <w:tmpl w:val="4BF35DC8"/>
    <w:lvl w:ilvl="0" w:tentative="0">
      <w:start w:val="1"/>
      <w:numFmt w:val="decimal"/>
      <w:lvlText w:val="%1)"/>
      <w:lvlJc w:val="left"/>
      <w:pPr>
        <w:ind w:left="420" w:hanging="420"/>
      </w:pPr>
      <w:rPr>
        <w:rFonts w:hint="eastAsia" w:cs="Times New Roman"/>
      </w:rPr>
    </w:lvl>
    <w:lvl w:ilvl="1" w:tentative="0">
      <w:start w:val="1"/>
      <w:numFmt w:val="lowerLetter"/>
      <w:lvlText w:val="%2)"/>
      <w:lvlJc w:val="left"/>
      <w:pPr>
        <w:ind w:left="840" w:hanging="420"/>
      </w:pPr>
      <w:rPr>
        <w:rFonts w:cs="Times New Roman"/>
      </w:rPr>
    </w:lvl>
    <w:lvl w:ilvl="2" w:tentative="0">
      <w:start w:val="1"/>
      <w:numFmt w:val="decimal"/>
      <w:lvlText w:val="%3)"/>
      <w:lvlJc w:val="left"/>
      <w:pPr>
        <w:ind w:left="1260" w:hanging="420"/>
      </w:pPr>
      <w:rPr>
        <w:rFonts w:hint="eastAsia"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10">
    <w:nsid w:val="5EDE2F08"/>
    <w:multiLevelType w:val="multilevel"/>
    <w:tmpl w:val="5EDE2F08"/>
    <w:lvl w:ilvl="0" w:tentative="0">
      <w:start w:val="1"/>
      <w:numFmt w:val="decimal"/>
      <w:lvlText w:val="%1)"/>
      <w:lvlJc w:val="left"/>
      <w:pPr>
        <w:ind w:left="420" w:hanging="420"/>
      </w:pPr>
      <w:rPr>
        <w:rFonts w:hint="eastAsia" w:cs="Times New Roman"/>
        <w:b w:val="0"/>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11">
    <w:nsid w:val="65D278AD"/>
    <w:multiLevelType w:val="multilevel"/>
    <w:tmpl w:val="65D278AD"/>
    <w:lvl w:ilvl="0" w:tentative="0">
      <w:start w:val="1"/>
      <w:numFmt w:val="decimal"/>
      <w:lvlText w:val="%1)"/>
      <w:lvlJc w:val="left"/>
      <w:pPr>
        <w:ind w:left="900" w:hanging="420"/>
      </w:pPr>
      <w:rPr>
        <w:rFonts w:hint="eastAsia" w:cs="Times New Roman"/>
      </w:rPr>
    </w:lvl>
    <w:lvl w:ilvl="1" w:tentative="0">
      <w:start w:val="1"/>
      <w:numFmt w:val="lowerLetter"/>
      <w:lvlText w:val="%2)"/>
      <w:lvlJc w:val="left"/>
      <w:pPr>
        <w:ind w:left="1320" w:hanging="420"/>
      </w:pPr>
      <w:rPr>
        <w:rFonts w:cs="Times New Roman"/>
      </w:rPr>
    </w:lvl>
    <w:lvl w:ilvl="2" w:tentative="0">
      <w:start w:val="1"/>
      <w:numFmt w:val="lowerRoman"/>
      <w:lvlText w:val="%3."/>
      <w:lvlJc w:val="right"/>
      <w:pPr>
        <w:ind w:left="1740" w:hanging="420"/>
      </w:pPr>
      <w:rPr>
        <w:rFonts w:cs="Times New Roman"/>
      </w:rPr>
    </w:lvl>
    <w:lvl w:ilvl="3" w:tentative="0">
      <w:start w:val="1"/>
      <w:numFmt w:val="decimal"/>
      <w:lvlText w:val="%4."/>
      <w:lvlJc w:val="left"/>
      <w:pPr>
        <w:ind w:left="2160" w:hanging="420"/>
      </w:pPr>
      <w:rPr>
        <w:rFonts w:cs="Times New Roman"/>
      </w:rPr>
    </w:lvl>
    <w:lvl w:ilvl="4" w:tentative="0">
      <w:start w:val="1"/>
      <w:numFmt w:val="lowerLetter"/>
      <w:lvlText w:val="%5)"/>
      <w:lvlJc w:val="left"/>
      <w:pPr>
        <w:ind w:left="2580" w:hanging="420"/>
      </w:pPr>
      <w:rPr>
        <w:rFonts w:cs="Times New Roman"/>
      </w:rPr>
    </w:lvl>
    <w:lvl w:ilvl="5" w:tentative="0">
      <w:start w:val="1"/>
      <w:numFmt w:val="lowerRoman"/>
      <w:lvlText w:val="%6."/>
      <w:lvlJc w:val="right"/>
      <w:pPr>
        <w:ind w:left="3000" w:hanging="420"/>
      </w:pPr>
      <w:rPr>
        <w:rFonts w:cs="Times New Roman"/>
      </w:rPr>
    </w:lvl>
    <w:lvl w:ilvl="6" w:tentative="0">
      <w:start w:val="1"/>
      <w:numFmt w:val="decimal"/>
      <w:lvlText w:val="%7."/>
      <w:lvlJc w:val="left"/>
      <w:pPr>
        <w:ind w:left="3420" w:hanging="420"/>
      </w:pPr>
      <w:rPr>
        <w:rFonts w:cs="Times New Roman"/>
      </w:rPr>
    </w:lvl>
    <w:lvl w:ilvl="7" w:tentative="0">
      <w:start w:val="1"/>
      <w:numFmt w:val="lowerLetter"/>
      <w:lvlText w:val="%8)"/>
      <w:lvlJc w:val="left"/>
      <w:pPr>
        <w:ind w:left="3840" w:hanging="420"/>
      </w:pPr>
      <w:rPr>
        <w:rFonts w:cs="Times New Roman"/>
      </w:rPr>
    </w:lvl>
    <w:lvl w:ilvl="8" w:tentative="0">
      <w:start w:val="1"/>
      <w:numFmt w:val="lowerRoman"/>
      <w:lvlText w:val="%9."/>
      <w:lvlJc w:val="right"/>
      <w:pPr>
        <w:ind w:left="4260" w:hanging="420"/>
      </w:pPr>
      <w:rPr>
        <w:rFonts w:cs="Times New Roman"/>
      </w:rPr>
    </w:lvl>
  </w:abstractNum>
  <w:abstractNum w:abstractNumId="12">
    <w:nsid w:val="7DCD081C"/>
    <w:multiLevelType w:val="multilevel"/>
    <w:tmpl w:val="7DCD081C"/>
    <w:lvl w:ilvl="0" w:tentative="0">
      <w:start w:val="1"/>
      <w:numFmt w:val="decimal"/>
      <w:lvlText w:val="%1)"/>
      <w:lvlJc w:val="left"/>
      <w:pPr>
        <w:ind w:left="420" w:hanging="420"/>
      </w:pPr>
      <w:rPr>
        <w:rFonts w:hint="eastAsia" w:cs="Times New Roman"/>
      </w:rPr>
    </w:lvl>
    <w:lvl w:ilvl="1" w:tentative="0">
      <w:start w:val="1"/>
      <w:numFmt w:val="decimal"/>
      <w:lvlText w:val="(%2)"/>
      <w:lvlJc w:val="left"/>
      <w:pPr>
        <w:ind w:left="780" w:hanging="360"/>
      </w:pPr>
      <w:rPr>
        <w:rFonts w:hint="default" w:cs="Times New Roman"/>
      </w:rPr>
    </w:lvl>
    <w:lvl w:ilvl="2" w:tentative="0">
      <w:start w:val="1"/>
      <w:numFmt w:val="decimal"/>
      <w:lvlText w:val="%3)"/>
      <w:lvlJc w:val="left"/>
      <w:pPr>
        <w:ind w:left="1260" w:hanging="420"/>
      </w:pPr>
      <w:rPr>
        <w:rFonts w:hint="eastAsia"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num w:numId="1">
    <w:abstractNumId w:val="1"/>
  </w:num>
  <w:num w:numId="2">
    <w:abstractNumId w:val="8"/>
  </w:num>
  <w:num w:numId="3">
    <w:abstractNumId w:val="2"/>
  </w:num>
  <w:num w:numId="4">
    <w:abstractNumId w:val="0"/>
  </w:num>
  <w:num w:numId="5">
    <w:abstractNumId w:val="3"/>
  </w:num>
  <w:num w:numId="6">
    <w:abstractNumId w:val="4"/>
  </w:num>
  <w:num w:numId="7">
    <w:abstractNumId w:val="11"/>
  </w:num>
  <w:num w:numId="8">
    <w:abstractNumId w:val="12"/>
  </w:num>
  <w:num w:numId="9">
    <w:abstractNumId w:val="6"/>
  </w:num>
  <w:num w:numId="10">
    <w:abstractNumId w:val="9"/>
  </w:num>
  <w:num w:numId="11">
    <w:abstractNumId w:val="5"/>
  </w:num>
  <w:num w:numId="12">
    <w:abstractNumId w:val="7"/>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attachedTemplate r:id="rId1"/>
  <w:documentProtection w:enforcement="0"/>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layout v:ext="edit">
      <o:idmap v:ext="edit" data="2"/>
    </o:shapelayout>
  </w:hdrShapeDefaults>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77C75"/>
    <w:rsid w:val="00002DEE"/>
    <w:rsid w:val="00002F3F"/>
    <w:rsid w:val="00011191"/>
    <w:rsid w:val="00035BA6"/>
    <w:rsid w:val="0006285C"/>
    <w:rsid w:val="00083799"/>
    <w:rsid w:val="000B4112"/>
    <w:rsid w:val="000B4845"/>
    <w:rsid w:val="000E6C7D"/>
    <w:rsid w:val="001054A3"/>
    <w:rsid w:val="00120635"/>
    <w:rsid w:val="00140F47"/>
    <w:rsid w:val="00164C7B"/>
    <w:rsid w:val="00194F48"/>
    <w:rsid w:val="001C3AFF"/>
    <w:rsid w:val="001C7A5E"/>
    <w:rsid w:val="001D18C7"/>
    <w:rsid w:val="001D2FFA"/>
    <w:rsid w:val="001F24D7"/>
    <w:rsid w:val="00202CDF"/>
    <w:rsid w:val="00210296"/>
    <w:rsid w:val="00211DCF"/>
    <w:rsid w:val="00240CC8"/>
    <w:rsid w:val="002470E9"/>
    <w:rsid w:val="00263A9E"/>
    <w:rsid w:val="00266159"/>
    <w:rsid w:val="00277C75"/>
    <w:rsid w:val="002911A3"/>
    <w:rsid w:val="0029787F"/>
    <w:rsid w:val="002A13B9"/>
    <w:rsid w:val="002A6C37"/>
    <w:rsid w:val="002B2930"/>
    <w:rsid w:val="002C4F62"/>
    <w:rsid w:val="003056DF"/>
    <w:rsid w:val="00313E09"/>
    <w:rsid w:val="00314F3C"/>
    <w:rsid w:val="00316E9D"/>
    <w:rsid w:val="00321E8A"/>
    <w:rsid w:val="00342AB2"/>
    <w:rsid w:val="00347874"/>
    <w:rsid w:val="00374276"/>
    <w:rsid w:val="00396437"/>
    <w:rsid w:val="003A33C2"/>
    <w:rsid w:val="003E43E4"/>
    <w:rsid w:val="003E6B6E"/>
    <w:rsid w:val="0040748B"/>
    <w:rsid w:val="00430DDC"/>
    <w:rsid w:val="00432219"/>
    <w:rsid w:val="00436335"/>
    <w:rsid w:val="00492650"/>
    <w:rsid w:val="004C48FE"/>
    <w:rsid w:val="00512820"/>
    <w:rsid w:val="005610EB"/>
    <w:rsid w:val="00563348"/>
    <w:rsid w:val="005639DF"/>
    <w:rsid w:val="00564093"/>
    <w:rsid w:val="00576088"/>
    <w:rsid w:val="00585308"/>
    <w:rsid w:val="00593CC2"/>
    <w:rsid w:val="005D54B6"/>
    <w:rsid w:val="00614176"/>
    <w:rsid w:val="006171A2"/>
    <w:rsid w:val="006208CC"/>
    <w:rsid w:val="00634526"/>
    <w:rsid w:val="006352EC"/>
    <w:rsid w:val="00635DC4"/>
    <w:rsid w:val="00642401"/>
    <w:rsid w:val="00662C48"/>
    <w:rsid w:val="0067320B"/>
    <w:rsid w:val="006922BC"/>
    <w:rsid w:val="006D022C"/>
    <w:rsid w:val="00736DDA"/>
    <w:rsid w:val="007726BB"/>
    <w:rsid w:val="00772DC2"/>
    <w:rsid w:val="00780889"/>
    <w:rsid w:val="007A3360"/>
    <w:rsid w:val="007B2B95"/>
    <w:rsid w:val="007C0CE3"/>
    <w:rsid w:val="007E6AF1"/>
    <w:rsid w:val="008037F6"/>
    <w:rsid w:val="0085005C"/>
    <w:rsid w:val="00864092"/>
    <w:rsid w:val="008720C2"/>
    <w:rsid w:val="00890B5A"/>
    <w:rsid w:val="008B0667"/>
    <w:rsid w:val="008B0F77"/>
    <w:rsid w:val="008B3E5D"/>
    <w:rsid w:val="00910483"/>
    <w:rsid w:val="00932159"/>
    <w:rsid w:val="0095550D"/>
    <w:rsid w:val="00983CF8"/>
    <w:rsid w:val="009B4FD3"/>
    <w:rsid w:val="00A06096"/>
    <w:rsid w:val="00A911F7"/>
    <w:rsid w:val="00A97121"/>
    <w:rsid w:val="00AA03CB"/>
    <w:rsid w:val="00AA35E3"/>
    <w:rsid w:val="00AC5B3D"/>
    <w:rsid w:val="00AD1B48"/>
    <w:rsid w:val="00AD433C"/>
    <w:rsid w:val="00AF6457"/>
    <w:rsid w:val="00B06DDF"/>
    <w:rsid w:val="00B34B56"/>
    <w:rsid w:val="00B631BC"/>
    <w:rsid w:val="00B6708E"/>
    <w:rsid w:val="00B71F9D"/>
    <w:rsid w:val="00B847BB"/>
    <w:rsid w:val="00C122CD"/>
    <w:rsid w:val="00C74111"/>
    <w:rsid w:val="00C9121B"/>
    <w:rsid w:val="00CA7487"/>
    <w:rsid w:val="00CB0AF7"/>
    <w:rsid w:val="00CC28ED"/>
    <w:rsid w:val="00D0764A"/>
    <w:rsid w:val="00D16979"/>
    <w:rsid w:val="00D44B63"/>
    <w:rsid w:val="00D76276"/>
    <w:rsid w:val="00DA14DB"/>
    <w:rsid w:val="00DA555D"/>
    <w:rsid w:val="00DC1F13"/>
    <w:rsid w:val="00DE7F50"/>
    <w:rsid w:val="00DF1DCA"/>
    <w:rsid w:val="00DF78DC"/>
    <w:rsid w:val="00E02E32"/>
    <w:rsid w:val="00E207FE"/>
    <w:rsid w:val="00E3662D"/>
    <w:rsid w:val="00E42018"/>
    <w:rsid w:val="00E53878"/>
    <w:rsid w:val="00E74EC5"/>
    <w:rsid w:val="00E82B60"/>
    <w:rsid w:val="00EB2203"/>
    <w:rsid w:val="00EB5342"/>
    <w:rsid w:val="00ED4CA1"/>
    <w:rsid w:val="00F2005E"/>
    <w:rsid w:val="00F361C6"/>
    <w:rsid w:val="00F46C38"/>
    <w:rsid w:val="00F525D3"/>
    <w:rsid w:val="00F62543"/>
    <w:rsid w:val="00F868A5"/>
    <w:rsid w:val="00FA04B4"/>
    <w:rsid w:val="00FE5E19"/>
    <w:rsid w:val="04FB0F45"/>
    <w:rsid w:val="0A8A6264"/>
    <w:rsid w:val="0DCE7FC7"/>
    <w:rsid w:val="1A683B93"/>
    <w:rsid w:val="2A677551"/>
    <w:rsid w:val="3B312026"/>
    <w:rsid w:val="3B702A08"/>
    <w:rsid w:val="4ECF430F"/>
    <w:rsid w:val="51DB1E66"/>
    <w:rsid w:val="560F4351"/>
    <w:rsid w:val="5FEA6FD3"/>
    <w:rsid w:val="6A325DA2"/>
    <w:rsid w:val="753D6EC5"/>
  </w:rsids>
  <m:mathPr>
    <m:lMargin m:val="0"/>
    <m:mathFont m:val="Cambria Math"/>
    <m:rMargin m:val="0"/>
    <m:wrapIndent m:val="1440"/>
    <m:brkBin m:val="before"/>
    <m:brkBinSub m:val="--"/>
    <m:defJc m:val="centerGroup"/>
    <m:intLim m:val="subSup"/>
    <m:naryLim m:val="undOvr"/>
    <m:smallFrac m:val="off"/>
    <m:dispDef/>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unhideWhenUsed="0" w:uiPriority="99" w:semiHidden="0" w:name="toc 1"/>
    <w:lsdException w:unhideWhenUsed="0" w:uiPriority="99" w:semiHidden="0" w:name="toc 2"/>
    <w:lsdException w:qFormat="1" w:unhideWhenUsed="0" w:uiPriority="9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iPriority="99" w:name="footnote text" w:locked="1"/>
    <w:lsdException w:qFormat="1" w:unhideWhenUsed="0" w:uiPriority="99" w:semiHidden="0" w:name="annotation text"/>
    <w:lsdException w:qFormat="1" w:unhideWhenUsed="0" w:uiPriority="99" w:semiHidden="0" w:name="header"/>
    <w:lsdException w:unhideWhenUsed="0" w:uiPriority="99" w:semiHidden="0" w:name="footer"/>
    <w:lsdException w:uiPriority="99" w:name="index heading" w:locked="1"/>
    <w:lsdException w:qFormat="1" w:uiPriority="0" w:name="caption"/>
    <w:lsdException w:uiPriority="99" w:name="table of figures" w:locked="1"/>
    <w:lsdException w:uiPriority="99" w:name="envelope address" w:locked="1"/>
    <w:lsdException w:uiPriority="99" w:name="envelope return" w:locked="1"/>
    <w:lsdException w:uiPriority="99" w:name="footnote reference" w:locked="1"/>
    <w:lsdException w:unhideWhenUsed="0" w:uiPriority="99" w:semiHidden="0"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0" w:semiHidden="0" w:name="Title"/>
    <w:lsdException w:uiPriority="99" w:name="Closing" w:locked="1"/>
    <w:lsdException w:uiPriority="99" w:name="Signature" w:locked="1"/>
    <w:lsdException w:qFormat="1" w:uiPriority="1" w:semiHidden="0" w:name="Default Paragraph Font"/>
    <w:lsdException w:uiPriority="99" w:name="Body Text" w:locked="1"/>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0" w:semiHidden="0" w:name="Subtitle"/>
    <w:lsdException w:uiPriority="99" w:name="Salutation" w:locked="1"/>
    <w:lsdException w:qFormat="1" w:unhideWhenUsed="0" w:uiPriority="99" w:semiHidden="0" w:name="Date"/>
    <w:lsdException w:uiPriority="99" w:name="Body Text First Indent" w:locked="1"/>
    <w:lsdException w:uiPriority="99" w:name="Body Text First Indent 2" w:locked="1"/>
    <w:lsdException w:uiPriority="99" w:name="Note Heading" w:locked="1"/>
    <w:lsdException w:uiPriority="99" w:name="Body Text 2" w:locked="1"/>
    <w:lsdException w:uiPriority="99" w:name="Body Text 3" w:locked="1"/>
    <w:lsdException w:unhideWhenUsed="0" w:uiPriority="99" w:semiHidden="0" w:name="Body Text Indent 2"/>
    <w:lsdException w:qFormat="1" w:unhideWhenUsed="0" w:uiPriority="99" w:semiHidden="0" w:name="Body Text Indent 3"/>
    <w:lsdException w:uiPriority="99" w:name="Block Text" w:locked="1"/>
    <w:lsdException w:unhideWhenUsed="0" w:uiPriority="99" w:semiHidden="0" w:name="Hyperlink"/>
    <w:lsdException w:uiPriority="99" w:name="FollowedHyperlink" w:locked="1"/>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99" w:semiHidden="0" w:name="Plain Text"/>
    <w:lsdException w:uiPriority="99" w:name="E-mail Signature" w:locked="1"/>
    <w:lsdException w:uiPriority="99" w:name="Normal (Web)" w:locked="1"/>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semiHidden="0" w:name="Normal Table"/>
    <w:lsdException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1"/>
    <w:qFormat/>
    <w:uiPriority w:val="99"/>
    <w:pPr>
      <w:keepNext/>
      <w:keepLines/>
      <w:adjustRightInd w:val="0"/>
      <w:snapToGrid w:val="0"/>
      <w:spacing w:before="100" w:after="100" w:line="360" w:lineRule="auto"/>
      <w:jc w:val="center"/>
      <w:outlineLvl w:val="0"/>
    </w:pPr>
    <w:rPr>
      <w:rFonts w:eastAsia="黑体"/>
      <w:b/>
      <w:bCs/>
      <w:kern w:val="44"/>
      <w:sz w:val="24"/>
      <w:szCs w:val="44"/>
    </w:rPr>
  </w:style>
  <w:style w:type="paragraph" w:styleId="3">
    <w:name w:val="heading 2"/>
    <w:basedOn w:val="1"/>
    <w:next w:val="1"/>
    <w:link w:val="32"/>
    <w:qFormat/>
    <w:uiPriority w:val="99"/>
    <w:pPr>
      <w:keepNext/>
      <w:keepLines/>
      <w:adjustRightInd w:val="0"/>
      <w:snapToGrid w:val="0"/>
      <w:spacing w:before="100" w:after="100" w:line="500" w:lineRule="exact"/>
      <w:outlineLvl w:val="1"/>
    </w:pPr>
    <w:rPr>
      <w:rFonts w:ascii="黑体" w:hAnsi="Arial" w:eastAsia="黑体"/>
      <w:bCs/>
      <w:kern w:val="4"/>
      <w:sz w:val="24"/>
    </w:rPr>
  </w:style>
  <w:style w:type="paragraph" w:styleId="4">
    <w:name w:val="heading 3"/>
    <w:basedOn w:val="1"/>
    <w:next w:val="1"/>
    <w:link w:val="33"/>
    <w:qFormat/>
    <w:uiPriority w:val="99"/>
    <w:pPr>
      <w:keepNext/>
      <w:keepLines/>
      <w:snapToGrid w:val="0"/>
      <w:spacing w:before="100" w:after="100" w:line="360" w:lineRule="auto"/>
      <w:outlineLvl w:val="2"/>
    </w:pPr>
    <w:rPr>
      <w:rFonts w:ascii="Arial" w:hAnsi="Arial" w:eastAsia="黑体"/>
      <w:bCs/>
      <w:kern w:val="4"/>
      <w:sz w:val="24"/>
    </w:rPr>
  </w:style>
  <w:style w:type="paragraph" w:styleId="5">
    <w:name w:val="heading 4"/>
    <w:basedOn w:val="1"/>
    <w:next w:val="1"/>
    <w:link w:val="34"/>
    <w:qFormat/>
    <w:uiPriority w:val="99"/>
    <w:pPr>
      <w:keepNext/>
      <w:keepLines/>
      <w:spacing w:before="100" w:after="100" w:line="500" w:lineRule="exact"/>
      <w:outlineLvl w:val="3"/>
    </w:pPr>
    <w:rPr>
      <w:rFonts w:ascii="Arial" w:hAnsi="Arial" w:eastAsia="黑体"/>
      <w:bCs/>
      <w:kern w:val="4"/>
      <w:sz w:val="28"/>
      <w:szCs w:val="28"/>
    </w:rPr>
  </w:style>
  <w:style w:type="paragraph" w:styleId="6">
    <w:name w:val="heading 5"/>
    <w:basedOn w:val="1"/>
    <w:next w:val="1"/>
    <w:link w:val="35"/>
    <w:qFormat/>
    <w:uiPriority w:val="99"/>
    <w:pPr>
      <w:keepNext/>
      <w:keepLines/>
      <w:spacing w:before="280" w:after="290" w:line="376" w:lineRule="auto"/>
      <w:outlineLvl w:val="4"/>
    </w:pPr>
    <w:rPr>
      <w:b/>
      <w:bCs/>
      <w:kern w:val="4"/>
      <w:sz w:val="28"/>
      <w:szCs w:val="28"/>
    </w:rPr>
  </w:style>
  <w:style w:type="paragraph" w:styleId="7">
    <w:name w:val="heading 6"/>
    <w:basedOn w:val="1"/>
    <w:next w:val="1"/>
    <w:link w:val="36"/>
    <w:qFormat/>
    <w:uiPriority w:val="99"/>
    <w:pPr>
      <w:keepNext/>
      <w:keepLines/>
      <w:spacing w:before="240" w:after="64" w:line="320" w:lineRule="auto"/>
      <w:outlineLvl w:val="5"/>
    </w:pPr>
    <w:rPr>
      <w:rFonts w:ascii="Arial" w:hAnsi="Arial" w:eastAsia="黑体"/>
      <w:b/>
      <w:bCs/>
      <w:kern w:val="4"/>
      <w:sz w:val="24"/>
    </w:rPr>
  </w:style>
  <w:style w:type="paragraph" w:styleId="8">
    <w:name w:val="heading 7"/>
    <w:basedOn w:val="1"/>
    <w:next w:val="1"/>
    <w:link w:val="37"/>
    <w:qFormat/>
    <w:uiPriority w:val="99"/>
    <w:pPr>
      <w:keepNext/>
      <w:keepLines/>
      <w:spacing w:before="240" w:after="64" w:line="320" w:lineRule="auto"/>
      <w:outlineLvl w:val="6"/>
    </w:pPr>
    <w:rPr>
      <w:b/>
      <w:bCs/>
      <w:kern w:val="4"/>
      <w:sz w:val="24"/>
    </w:rPr>
  </w:style>
  <w:style w:type="paragraph" w:styleId="9">
    <w:name w:val="heading 8"/>
    <w:basedOn w:val="1"/>
    <w:next w:val="1"/>
    <w:link w:val="38"/>
    <w:qFormat/>
    <w:uiPriority w:val="99"/>
    <w:pPr>
      <w:keepNext/>
      <w:keepLines/>
      <w:spacing w:before="240" w:after="64" w:line="320" w:lineRule="auto"/>
      <w:outlineLvl w:val="7"/>
    </w:pPr>
    <w:rPr>
      <w:rFonts w:ascii="Arial" w:hAnsi="Arial" w:eastAsia="黑体"/>
      <w:kern w:val="4"/>
      <w:sz w:val="24"/>
    </w:rPr>
  </w:style>
  <w:style w:type="paragraph" w:styleId="10">
    <w:name w:val="heading 9"/>
    <w:basedOn w:val="1"/>
    <w:next w:val="1"/>
    <w:link w:val="39"/>
    <w:qFormat/>
    <w:uiPriority w:val="99"/>
    <w:pPr>
      <w:keepNext/>
      <w:keepLines/>
      <w:spacing w:before="240" w:after="64" w:line="320" w:lineRule="auto"/>
      <w:outlineLvl w:val="8"/>
    </w:pPr>
    <w:rPr>
      <w:rFonts w:ascii="Arial" w:hAnsi="Arial" w:eastAsia="黑体"/>
      <w:kern w:val="4"/>
      <w:szCs w:val="21"/>
    </w:rPr>
  </w:style>
  <w:style w:type="character" w:default="1" w:styleId="25">
    <w:name w:val="Default Paragraph Font"/>
    <w:unhideWhenUsed/>
    <w:qFormat/>
    <w:uiPriority w:val="1"/>
  </w:style>
  <w:style w:type="table" w:default="1" w:styleId="29">
    <w:name w:val="Normal Table"/>
    <w:unhideWhenUsed/>
    <w:qFormat/>
    <w:uiPriority w:val="99"/>
    <w:tblPr>
      <w:tblLayout w:type="fixed"/>
      <w:tblCellMar>
        <w:top w:w="0" w:type="dxa"/>
        <w:left w:w="108" w:type="dxa"/>
        <w:bottom w:w="0" w:type="dxa"/>
        <w:right w:w="108" w:type="dxa"/>
      </w:tblCellMar>
    </w:tblPr>
  </w:style>
  <w:style w:type="paragraph" w:styleId="11">
    <w:name w:val="Normal Indent"/>
    <w:basedOn w:val="1"/>
    <w:qFormat/>
    <w:uiPriority w:val="99"/>
    <w:pPr>
      <w:ind w:firstLine="420" w:firstLineChars="200"/>
    </w:pPr>
    <w:rPr>
      <w:color w:val="0A0A0A"/>
      <w:sz w:val="28"/>
    </w:rPr>
  </w:style>
  <w:style w:type="paragraph" w:styleId="12">
    <w:name w:val="Document Map"/>
    <w:basedOn w:val="1"/>
    <w:link w:val="40"/>
    <w:qFormat/>
    <w:uiPriority w:val="99"/>
    <w:pPr>
      <w:shd w:val="clear" w:color="auto" w:fill="000080"/>
    </w:pPr>
  </w:style>
  <w:style w:type="paragraph" w:styleId="13">
    <w:name w:val="annotation text"/>
    <w:basedOn w:val="1"/>
    <w:link w:val="41"/>
    <w:qFormat/>
    <w:uiPriority w:val="99"/>
    <w:pPr>
      <w:jc w:val="left"/>
    </w:pPr>
  </w:style>
  <w:style w:type="paragraph" w:styleId="14">
    <w:name w:val="Body Text Indent"/>
    <w:basedOn w:val="1"/>
    <w:link w:val="42"/>
    <w:qFormat/>
    <w:uiPriority w:val="99"/>
    <w:pPr>
      <w:ind w:left="718" w:leftChars="342" w:firstLine="362"/>
      <w:jc w:val="left"/>
    </w:pPr>
    <w:rPr>
      <w:sz w:val="24"/>
    </w:rPr>
  </w:style>
  <w:style w:type="paragraph" w:styleId="15">
    <w:name w:val="toc 3"/>
    <w:basedOn w:val="1"/>
    <w:next w:val="1"/>
    <w:qFormat/>
    <w:uiPriority w:val="99"/>
    <w:pPr>
      <w:ind w:left="840" w:leftChars="400"/>
    </w:pPr>
  </w:style>
  <w:style w:type="paragraph" w:styleId="16">
    <w:name w:val="Plain Text"/>
    <w:basedOn w:val="1"/>
    <w:link w:val="43"/>
    <w:qFormat/>
    <w:uiPriority w:val="99"/>
    <w:rPr>
      <w:rFonts w:ascii="宋体" w:hAnsi="Courier New"/>
      <w:kern w:val="4"/>
      <w:sz w:val="24"/>
    </w:rPr>
  </w:style>
  <w:style w:type="paragraph" w:styleId="17">
    <w:name w:val="Date"/>
    <w:basedOn w:val="1"/>
    <w:next w:val="1"/>
    <w:link w:val="44"/>
    <w:qFormat/>
    <w:uiPriority w:val="99"/>
    <w:pPr>
      <w:ind w:left="100" w:leftChars="2500"/>
    </w:pPr>
  </w:style>
  <w:style w:type="paragraph" w:styleId="18">
    <w:name w:val="Body Text Indent 2"/>
    <w:basedOn w:val="1"/>
    <w:link w:val="45"/>
    <w:uiPriority w:val="99"/>
    <w:pPr>
      <w:spacing w:line="440" w:lineRule="exact"/>
      <w:ind w:left="239" w:leftChars="114" w:firstLine="557" w:firstLineChars="232"/>
    </w:pPr>
    <w:rPr>
      <w:rFonts w:ascii="宋体" w:hAnsi="宋体"/>
      <w:color w:val="0000FF"/>
      <w:sz w:val="24"/>
    </w:rPr>
  </w:style>
  <w:style w:type="paragraph" w:styleId="19">
    <w:name w:val="Balloon Text"/>
    <w:basedOn w:val="1"/>
    <w:link w:val="46"/>
    <w:qFormat/>
    <w:uiPriority w:val="99"/>
    <w:pPr>
      <w:spacing w:line="440" w:lineRule="exact"/>
      <w:ind w:firstLine="472" w:firstLineChars="200"/>
    </w:pPr>
    <w:rPr>
      <w:rFonts w:ascii="宋体" w:hAnsi="宋体"/>
      <w:bCs/>
      <w:spacing w:val="-2"/>
      <w:sz w:val="18"/>
      <w:szCs w:val="18"/>
    </w:rPr>
  </w:style>
  <w:style w:type="paragraph" w:styleId="20">
    <w:name w:val="footer"/>
    <w:basedOn w:val="1"/>
    <w:link w:val="47"/>
    <w:uiPriority w:val="99"/>
    <w:pPr>
      <w:tabs>
        <w:tab w:val="center" w:pos="4153"/>
        <w:tab w:val="right" w:pos="8306"/>
      </w:tabs>
      <w:snapToGrid w:val="0"/>
      <w:jc w:val="left"/>
    </w:pPr>
    <w:rPr>
      <w:sz w:val="18"/>
      <w:szCs w:val="18"/>
    </w:rPr>
  </w:style>
  <w:style w:type="paragraph" w:styleId="21">
    <w:name w:val="header"/>
    <w:basedOn w:val="1"/>
    <w:link w:val="48"/>
    <w:qFormat/>
    <w:uiPriority w:val="99"/>
    <w:pPr>
      <w:pBdr>
        <w:bottom w:val="single" w:color="auto" w:sz="6" w:space="1"/>
      </w:pBdr>
      <w:tabs>
        <w:tab w:val="center" w:pos="4153"/>
        <w:tab w:val="right" w:pos="8306"/>
      </w:tabs>
      <w:snapToGrid w:val="0"/>
      <w:jc w:val="center"/>
    </w:pPr>
    <w:rPr>
      <w:sz w:val="18"/>
      <w:szCs w:val="18"/>
    </w:rPr>
  </w:style>
  <w:style w:type="paragraph" w:styleId="22">
    <w:name w:val="toc 1"/>
    <w:basedOn w:val="1"/>
    <w:next w:val="1"/>
    <w:uiPriority w:val="99"/>
    <w:pPr>
      <w:tabs>
        <w:tab w:val="right" w:leader="dot" w:pos="8777"/>
      </w:tabs>
    </w:pPr>
    <w:rPr>
      <w:color w:val="000000"/>
    </w:rPr>
  </w:style>
  <w:style w:type="paragraph" w:styleId="23">
    <w:name w:val="Body Text Indent 3"/>
    <w:basedOn w:val="1"/>
    <w:link w:val="49"/>
    <w:qFormat/>
    <w:uiPriority w:val="99"/>
    <w:pPr>
      <w:tabs>
        <w:tab w:val="left" w:pos="1080"/>
      </w:tabs>
      <w:ind w:left="718" w:leftChars="342" w:firstLine="1"/>
    </w:pPr>
    <w:rPr>
      <w:sz w:val="24"/>
    </w:rPr>
  </w:style>
  <w:style w:type="paragraph" w:styleId="24">
    <w:name w:val="toc 2"/>
    <w:basedOn w:val="1"/>
    <w:next w:val="1"/>
    <w:uiPriority w:val="99"/>
    <w:pPr>
      <w:ind w:left="420" w:leftChars="200"/>
    </w:pPr>
  </w:style>
  <w:style w:type="character" w:styleId="26">
    <w:name w:val="page number"/>
    <w:basedOn w:val="25"/>
    <w:qFormat/>
    <w:uiPriority w:val="99"/>
    <w:rPr>
      <w:rFonts w:cs="Times New Roman"/>
    </w:rPr>
  </w:style>
  <w:style w:type="character" w:styleId="27">
    <w:name w:val="Hyperlink"/>
    <w:basedOn w:val="25"/>
    <w:uiPriority w:val="99"/>
    <w:rPr>
      <w:rFonts w:cs="Times New Roman"/>
      <w:color w:val="0000FF"/>
      <w:u w:val="single"/>
    </w:rPr>
  </w:style>
  <w:style w:type="character" w:styleId="28">
    <w:name w:val="annotation reference"/>
    <w:basedOn w:val="25"/>
    <w:uiPriority w:val="99"/>
    <w:rPr>
      <w:rFonts w:cs="Times New Roman"/>
      <w:sz w:val="21"/>
      <w:szCs w:val="21"/>
    </w:rPr>
  </w:style>
  <w:style w:type="table" w:styleId="30">
    <w:name w:val="Table Grid"/>
    <w:basedOn w:val="29"/>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style>
  <w:style w:type="character" w:customStyle="1" w:styleId="31">
    <w:name w:val="标题 1 Char"/>
    <w:basedOn w:val="25"/>
    <w:link w:val="2"/>
    <w:qFormat/>
    <w:locked/>
    <w:uiPriority w:val="99"/>
    <w:rPr>
      <w:rFonts w:cs="Times New Roman"/>
      <w:b/>
      <w:bCs/>
      <w:kern w:val="44"/>
      <w:sz w:val="44"/>
      <w:szCs w:val="44"/>
    </w:rPr>
  </w:style>
  <w:style w:type="character" w:customStyle="1" w:styleId="32">
    <w:name w:val="标题 2 Char"/>
    <w:basedOn w:val="25"/>
    <w:link w:val="3"/>
    <w:semiHidden/>
    <w:qFormat/>
    <w:locked/>
    <w:uiPriority w:val="99"/>
    <w:rPr>
      <w:rFonts w:ascii="Cambria" w:hAnsi="Cambria" w:eastAsia="宋体" w:cs="Times New Roman"/>
      <w:b/>
      <w:bCs/>
      <w:sz w:val="32"/>
      <w:szCs w:val="32"/>
    </w:rPr>
  </w:style>
  <w:style w:type="character" w:customStyle="1" w:styleId="33">
    <w:name w:val="标题 3 Char"/>
    <w:basedOn w:val="25"/>
    <w:link w:val="4"/>
    <w:semiHidden/>
    <w:qFormat/>
    <w:locked/>
    <w:uiPriority w:val="99"/>
    <w:rPr>
      <w:rFonts w:cs="Times New Roman"/>
      <w:b/>
      <w:bCs/>
      <w:sz w:val="32"/>
      <w:szCs w:val="32"/>
    </w:rPr>
  </w:style>
  <w:style w:type="character" w:customStyle="1" w:styleId="34">
    <w:name w:val="标题 4 Char"/>
    <w:basedOn w:val="25"/>
    <w:link w:val="5"/>
    <w:semiHidden/>
    <w:qFormat/>
    <w:locked/>
    <w:uiPriority w:val="99"/>
    <w:rPr>
      <w:rFonts w:ascii="Cambria" w:hAnsi="Cambria" w:eastAsia="宋体" w:cs="Times New Roman"/>
      <w:b/>
      <w:bCs/>
      <w:sz w:val="28"/>
      <w:szCs w:val="28"/>
    </w:rPr>
  </w:style>
  <w:style w:type="character" w:customStyle="1" w:styleId="35">
    <w:name w:val="标题 5 Char"/>
    <w:basedOn w:val="25"/>
    <w:link w:val="6"/>
    <w:semiHidden/>
    <w:locked/>
    <w:uiPriority w:val="99"/>
    <w:rPr>
      <w:rFonts w:cs="Times New Roman"/>
      <w:b/>
      <w:bCs/>
      <w:sz w:val="28"/>
      <w:szCs w:val="28"/>
    </w:rPr>
  </w:style>
  <w:style w:type="character" w:customStyle="1" w:styleId="36">
    <w:name w:val="标题 6 Char"/>
    <w:basedOn w:val="25"/>
    <w:link w:val="7"/>
    <w:semiHidden/>
    <w:locked/>
    <w:uiPriority w:val="99"/>
    <w:rPr>
      <w:rFonts w:ascii="Cambria" w:hAnsi="Cambria" w:eastAsia="宋体" w:cs="Times New Roman"/>
      <w:b/>
      <w:bCs/>
      <w:sz w:val="24"/>
      <w:szCs w:val="24"/>
    </w:rPr>
  </w:style>
  <w:style w:type="character" w:customStyle="1" w:styleId="37">
    <w:name w:val="标题 7 Char"/>
    <w:basedOn w:val="25"/>
    <w:link w:val="8"/>
    <w:semiHidden/>
    <w:qFormat/>
    <w:locked/>
    <w:uiPriority w:val="99"/>
    <w:rPr>
      <w:rFonts w:cs="Times New Roman"/>
      <w:b/>
      <w:bCs/>
      <w:sz w:val="24"/>
      <w:szCs w:val="24"/>
    </w:rPr>
  </w:style>
  <w:style w:type="character" w:customStyle="1" w:styleId="38">
    <w:name w:val="标题 8 Char"/>
    <w:basedOn w:val="25"/>
    <w:link w:val="9"/>
    <w:semiHidden/>
    <w:locked/>
    <w:uiPriority w:val="99"/>
    <w:rPr>
      <w:rFonts w:ascii="Cambria" w:hAnsi="Cambria" w:eastAsia="宋体" w:cs="Times New Roman"/>
      <w:sz w:val="24"/>
      <w:szCs w:val="24"/>
    </w:rPr>
  </w:style>
  <w:style w:type="character" w:customStyle="1" w:styleId="39">
    <w:name w:val="标题 9 Char"/>
    <w:basedOn w:val="25"/>
    <w:link w:val="10"/>
    <w:semiHidden/>
    <w:qFormat/>
    <w:locked/>
    <w:uiPriority w:val="99"/>
    <w:rPr>
      <w:rFonts w:ascii="Cambria" w:hAnsi="Cambria" w:eastAsia="宋体" w:cs="Times New Roman"/>
      <w:sz w:val="21"/>
      <w:szCs w:val="21"/>
    </w:rPr>
  </w:style>
  <w:style w:type="character" w:customStyle="1" w:styleId="40">
    <w:name w:val="文档结构图 Char"/>
    <w:basedOn w:val="25"/>
    <w:link w:val="12"/>
    <w:semiHidden/>
    <w:qFormat/>
    <w:locked/>
    <w:uiPriority w:val="99"/>
    <w:rPr>
      <w:rFonts w:cs="Times New Roman"/>
      <w:sz w:val="2"/>
    </w:rPr>
  </w:style>
  <w:style w:type="character" w:customStyle="1" w:styleId="41">
    <w:name w:val="批注文字 Char"/>
    <w:basedOn w:val="25"/>
    <w:link w:val="13"/>
    <w:semiHidden/>
    <w:locked/>
    <w:uiPriority w:val="99"/>
    <w:rPr>
      <w:rFonts w:cs="Times New Roman"/>
      <w:sz w:val="24"/>
      <w:szCs w:val="24"/>
    </w:rPr>
  </w:style>
  <w:style w:type="character" w:customStyle="1" w:styleId="42">
    <w:name w:val="正文文本缩进 Char"/>
    <w:basedOn w:val="25"/>
    <w:link w:val="14"/>
    <w:semiHidden/>
    <w:locked/>
    <w:uiPriority w:val="99"/>
    <w:rPr>
      <w:rFonts w:cs="Times New Roman"/>
      <w:sz w:val="24"/>
      <w:szCs w:val="24"/>
    </w:rPr>
  </w:style>
  <w:style w:type="character" w:customStyle="1" w:styleId="43">
    <w:name w:val="纯文本 Char"/>
    <w:basedOn w:val="25"/>
    <w:link w:val="16"/>
    <w:locked/>
    <w:uiPriority w:val="99"/>
    <w:rPr>
      <w:rFonts w:ascii="宋体" w:hAnsi="Courier New" w:eastAsia="宋体" w:cs="Times New Roman"/>
      <w:kern w:val="4"/>
      <w:sz w:val="24"/>
      <w:lang w:val="en-US" w:eastAsia="zh-CN" w:bidi="ar-SA"/>
    </w:rPr>
  </w:style>
  <w:style w:type="character" w:customStyle="1" w:styleId="44">
    <w:name w:val="日期 Char"/>
    <w:basedOn w:val="25"/>
    <w:link w:val="17"/>
    <w:semiHidden/>
    <w:locked/>
    <w:uiPriority w:val="99"/>
    <w:rPr>
      <w:rFonts w:cs="Times New Roman"/>
      <w:kern w:val="2"/>
      <w:sz w:val="24"/>
      <w:szCs w:val="24"/>
    </w:rPr>
  </w:style>
  <w:style w:type="character" w:customStyle="1" w:styleId="45">
    <w:name w:val="正文文本缩进 2 Char"/>
    <w:basedOn w:val="25"/>
    <w:link w:val="18"/>
    <w:semiHidden/>
    <w:locked/>
    <w:uiPriority w:val="99"/>
    <w:rPr>
      <w:rFonts w:cs="Times New Roman"/>
      <w:sz w:val="24"/>
      <w:szCs w:val="24"/>
    </w:rPr>
  </w:style>
  <w:style w:type="character" w:customStyle="1" w:styleId="46">
    <w:name w:val="批注框文本 Char"/>
    <w:basedOn w:val="25"/>
    <w:link w:val="19"/>
    <w:semiHidden/>
    <w:locked/>
    <w:uiPriority w:val="99"/>
    <w:rPr>
      <w:rFonts w:cs="Times New Roman"/>
      <w:sz w:val="2"/>
    </w:rPr>
  </w:style>
  <w:style w:type="character" w:customStyle="1" w:styleId="47">
    <w:name w:val="页脚 Char"/>
    <w:basedOn w:val="25"/>
    <w:link w:val="20"/>
    <w:semiHidden/>
    <w:locked/>
    <w:uiPriority w:val="99"/>
    <w:rPr>
      <w:rFonts w:cs="Times New Roman"/>
      <w:sz w:val="18"/>
      <w:szCs w:val="18"/>
    </w:rPr>
  </w:style>
  <w:style w:type="character" w:customStyle="1" w:styleId="48">
    <w:name w:val="页眉 Char"/>
    <w:basedOn w:val="25"/>
    <w:link w:val="21"/>
    <w:locked/>
    <w:uiPriority w:val="99"/>
    <w:rPr>
      <w:rFonts w:eastAsia="宋体" w:cs="Times New Roman"/>
      <w:kern w:val="2"/>
      <w:sz w:val="18"/>
      <w:szCs w:val="18"/>
      <w:lang w:val="en-US" w:eastAsia="zh-CN" w:bidi="ar-SA"/>
    </w:rPr>
  </w:style>
  <w:style w:type="character" w:customStyle="1" w:styleId="49">
    <w:name w:val="正文文本缩进 3 Char"/>
    <w:basedOn w:val="25"/>
    <w:link w:val="23"/>
    <w:semiHidden/>
    <w:locked/>
    <w:uiPriority w:val="99"/>
    <w:rPr>
      <w:rFonts w:cs="Times New Roman"/>
      <w:sz w:val="16"/>
      <w:szCs w:val="16"/>
    </w:rPr>
  </w:style>
  <w:style w:type="paragraph" w:customStyle="1" w:styleId="50">
    <w:name w:val="表文"/>
    <w:basedOn w:val="1"/>
    <w:link w:val="67"/>
    <w:qFormat/>
    <w:uiPriority w:val="99"/>
    <w:pPr>
      <w:adjustRightInd w:val="0"/>
      <w:snapToGrid w:val="0"/>
      <w:spacing w:line="280" w:lineRule="exact"/>
      <w:jc w:val="center"/>
    </w:pPr>
    <w:rPr>
      <w:rFonts w:ascii="宋体" w:hAnsi="宋体"/>
      <w:color w:val="000000"/>
      <w:spacing w:val="-20"/>
      <w:szCs w:val="21"/>
    </w:rPr>
  </w:style>
  <w:style w:type="paragraph" w:customStyle="1" w:styleId="51">
    <w:name w:val="表名A"/>
    <w:basedOn w:val="1"/>
    <w:qFormat/>
    <w:uiPriority w:val="99"/>
    <w:pPr>
      <w:widowControl/>
      <w:tabs>
        <w:tab w:val="left" w:pos="0"/>
      </w:tabs>
      <w:adjustRightInd w:val="0"/>
      <w:snapToGrid w:val="0"/>
      <w:spacing w:beforeLines="80" w:afterLines="20" w:line="440" w:lineRule="exact"/>
      <w:ind w:firstLine="472" w:firstLineChars="200"/>
      <w:jc w:val="center"/>
    </w:pPr>
    <w:rPr>
      <w:rFonts w:ascii="宋体" w:hAnsi="宋体"/>
      <w:b/>
      <w:bCs/>
      <w:spacing w:val="-2"/>
      <w:kern w:val="0"/>
      <w:sz w:val="24"/>
      <w:szCs w:val="20"/>
    </w:rPr>
  </w:style>
  <w:style w:type="paragraph" w:customStyle="1" w:styleId="52">
    <w:name w:val="表格"/>
    <w:basedOn w:val="1"/>
    <w:uiPriority w:val="99"/>
    <w:pPr>
      <w:autoSpaceDE w:val="0"/>
      <w:autoSpaceDN w:val="0"/>
      <w:adjustRightInd w:val="0"/>
      <w:jc w:val="center"/>
      <w:textAlignment w:val="baseline"/>
    </w:pPr>
    <w:rPr>
      <w:kern w:val="20"/>
      <w:sz w:val="24"/>
      <w:szCs w:val="18"/>
    </w:rPr>
  </w:style>
  <w:style w:type="paragraph" w:customStyle="1" w:styleId="53">
    <w:name w:val="单位名称"/>
    <w:next w:val="1"/>
    <w:link w:val="68"/>
    <w:uiPriority w:val="99"/>
    <w:pPr>
      <w:spacing w:line="360" w:lineRule="auto"/>
      <w:jc w:val="center"/>
    </w:pPr>
    <w:rPr>
      <w:rFonts w:ascii="宋体" w:hAnsi="宋体" w:eastAsia="宋体" w:cs="宋体"/>
      <w:kern w:val="2"/>
      <w:sz w:val="36"/>
      <w:lang w:val="en-US" w:eastAsia="zh-CN" w:bidi="ar-SA"/>
    </w:rPr>
  </w:style>
  <w:style w:type="paragraph" w:customStyle="1" w:styleId="54">
    <w:name w:val="样式 标题 4 + (符号) 宋体"/>
    <w:basedOn w:val="5"/>
    <w:uiPriority w:val="99"/>
    <w:pPr>
      <w:tabs>
        <w:tab w:val="left" w:pos="425"/>
        <w:tab w:val="left" w:pos="2716"/>
      </w:tabs>
      <w:adjustRightInd w:val="0"/>
      <w:spacing w:before="0" w:after="0" w:line="360" w:lineRule="auto"/>
      <w:ind w:left="425" w:hanging="425"/>
    </w:pPr>
    <w:rPr>
      <w:rFonts w:ascii="宋体" w:eastAsia="宋体"/>
      <w:bCs w:val="0"/>
      <w:kern w:val="2"/>
      <w:sz w:val="24"/>
      <w:szCs w:val="24"/>
    </w:rPr>
  </w:style>
  <w:style w:type="paragraph" w:customStyle="1" w:styleId="55">
    <w:name w:val="表文C"/>
    <w:basedOn w:val="1"/>
    <w:qFormat/>
    <w:uiPriority w:val="99"/>
    <w:pPr>
      <w:widowControl/>
      <w:tabs>
        <w:tab w:val="left" w:pos="0"/>
      </w:tabs>
      <w:adjustRightInd w:val="0"/>
      <w:snapToGrid w:val="0"/>
      <w:spacing w:line="440" w:lineRule="exact"/>
      <w:jc w:val="center"/>
      <w:outlineLvl w:val="4"/>
    </w:pPr>
    <w:rPr>
      <w:rFonts w:ascii="宋体" w:hAnsi="宋体"/>
      <w:spacing w:val="-2"/>
      <w:kern w:val="0"/>
      <w:sz w:val="24"/>
      <w:szCs w:val="20"/>
    </w:rPr>
  </w:style>
  <w:style w:type="paragraph" w:customStyle="1" w:styleId="56">
    <w:name w:val="图表名称及图片"/>
    <w:next w:val="1"/>
    <w:link w:val="65"/>
    <w:uiPriority w:val="99"/>
    <w:pPr>
      <w:snapToGrid w:val="0"/>
      <w:jc w:val="center"/>
    </w:pPr>
    <w:rPr>
      <w:rFonts w:ascii="Times New Roman" w:hAnsi="Times New Roman" w:eastAsia="宋体" w:cs="Times New Roman"/>
      <w:b/>
      <w:kern w:val="2"/>
      <w:sz w:val="28"/>
      <w:szCs w:val="24"/>
      <w:lang w:val="en-US" w:eastAsia="zh-CN" w:bidi="ar-SA"/>
    </w:rPr>
  </w:style>
  <w:style w:type="paragraph" w:customStyle="1" w:styleId="57">
    <w:name w:val="Char1 Char Char Char"/>
    <w:basedOn w:val="1"/>
    <w:next w:val="1"/>
    <w:qFormat/>
    <w:uiPriority w:val="99"/>
    <w:pPr>
      <w:widowControl/>
      <w:tabs>
        <w:tab w:val="left" w:pos="777"/>
      </w:tabs>
      <w:spacing w:beforeLines="50" w:afterLines="100" w:line="360" w:lineRule="auto"/>
      <w:ind w:left="2210" w:hanging="748"/>
      <w:jc w:val="center"/>
    </w:pPr>
    <w:rPr>
      <w:rFonts w:ascii="宋体" w:hAnsi="宋体" w:cs="宋体"/>
      <w:kern w:val="0"/>
      <w:sz w:val="24"/>
    </w:rPr>
  </w:style>
  <w:style w:type="paragraph" w:customStyle="1" w:styleId="58">
    <w:name w:val="样式 样式 宋体 四号 行距: 固定值 25 磅 + 首行缩进:  2 字符"/>
    <w:basedOn w:val="1"/>
    <w:uiPriority w:val="99"/>
    <w:pPr>
      <w:spacing w:line="500" w:lineRule="exact"/>
      <w:ind w:firstLine="200" w:firstLineChars="200"/>
    </w:pPr>
    <w:rPr>
      <w:rFonts w:ascii="宋体" w:hAnsi="宋体"/>
      <w:spacing w:val="20"/>
      <w:sz w:val="24"/>
      <w:szCs w:val="20"/>
    </w:rPr>
  </w:style>
  <w:style w:type="paragraph" w:customStyle="1" w:styleId="59">
    <w:name w:val="表头"/>
    <w:uiPriority w:val="99"/>
    <w:pPr>
      <w:adjustRightInd w:val="0"/>
      <w:snapToGrid w:val="0"/>
      <w:spacing w:before="60" w:after="60"/>
      <w:jc w:val="center"/>
    </w:pPr>
    <w:rPr>
      <w:rFonts w:ascii="Times New Roman" w:hAnsi="Times New Roman" w:eastAsia="宋体" w:cs="Times New Roman"/>
      <w:b/>
      <w:sz w:val="21"/>
      <w:lang w:val="en-US" w:eastAsia="zh-CN" w:bidi="ar-SA"/>
    </w:rPr>
  </w:style>
  <w:style w:type="paragraph" w:customStyle="1" w:styleId="60">
    <w:name w:val="样式 样式 宋体 四号 行距: 1.5 倍行距 + 首行缩进:  2 字符"/>
    <w:basedOn w:val="1"/>
    <w:uiPriority w:val="99"/>
    <w:pPr>
      <w:spacing w:line="500" w:lineRule="exact"/>
      <w:ind w:firstLine="200" w:firstLineChars="200"/>
    </w:pPr>
    <w:rPr>
      <w:rFonts w:ascii="宋体" w:hAnsi="宋体" w:cs="宋体"/>
      <w:kern w:val="20"/>
      <w:sz w:val="28"/>
      <w:szCs w:val="20"/>
    </w:rPr>
  </w:style>
  <w:style w:type="paragraph" w:customStyle="1" w:styleId="61">
    <w:name w:val="Char Char1 Char Char Char Char Char Char Char Char Char Char Char Char Char Char Char Char Char Char Char"/>
    <w:basedOn w:val="1"/>
    <w:qFormat/>
    <w:uiPriority w:val="99"/>
    <w:pPr>
      <w:widowControl/>
      <w:jc w:val="left"/>
    </w:pPr>
    <w:rPr>
      <w:rFonts w:ascii="宋体" w:hAnsi="宋体" w:cs="宋体"/>
      <w:color w:val="000000"/>
      <w:kern w:val="0"/>
      <w:sz w:val="24"/>
    </w:rPr>
  </w:style>
  <w:style w:type="paragraph" w:customStyle="1" w:styleId="62">
    <w:name w:val="List Paragraph1"/>
    <w:basedOn w:val="1"/>
    <w:uiPriority w:val="99"/>
    <w:pPr>
      <w:ind w:firstLine="420" w:firstLineChars="200"/>
    </w:pPr>
  </w:style>
  <w:style w:type="paragraph" w:customStyle="1" w:styleId="63">
    <w:name w:val="正文样式"/>
    <w:basedOn w:val="1"/>
    <w:qFormat/>
    <w:uiPriority w:val="99"/>
    <w:pPr>
      <w:spacing w:line="400" w:lineRule="exact"/>
      <w:jc w:val="center"/>
    </w:pPr>
    <w:rPr>
      <w:rFonts w:ascii="宋体" w:hAnsi="宋体"/>
      <w:sz w:val="24"/>
    </w:rPr>
  </w:style>
  <w:style w:type="character" w:customStyle="1" w:styleId="64">
    <w:name w:val="表文C Char Char"/>
    <w:basedOn w:val="25"/>
    <w:uiPriority w:val="99"/>
    <w:rPr>
      <w:rFonts w:ascii="宋体" w:hAnsi="宋体" w:eastAsia="宋体" w:cs="Times New Roman"/>
      <w:snapToGrid w:val="0"/>
      <w:spacing w:val="-2"/>
      <w:sz w:val="21"/>
      <w:lang w:val="en-US" w:eastAsia="zh-CN" w:bidi="ar-SA"/>
    </w:rPr>
  </w:style>
  <w:style w:type="character" w:customStyle="1" w:styleId="65">
    <w:name w:val="图表名称及图片 Char Char"/>
    <w:basedOn w:val="25"/>
    <w:link w:val="56"/>
    <w:locked/>
    <w:uiPriority w:val="99"/>
    <w:rPr>
      <w:b/>
      <w:kern w:val="2"/>
      <w:sz w:val="28"/>
      <w:szCs w:val="24"/>
      <w:lang w:val="en-US" w:eastAsia="zh-CN" w:bidi="ar-SA"/>
    </w:rPr>
  </w:style>
  <w:style w:type="character" w:customStyle="1" w:styleId="66">
    <w:name w:val="表头 Char Char"/>
    <w:basedOn w:val="25"/>
    <w:qFormat/>
    <w:uiPriority w:val="99"/>
    <w:rPr>
      <w:rFonts w:eastAsia="宋体" w:cs="Times New Roman"/>
      <w:b/>
      <w:sz w:val="21"/>
      <w:lang w:val="en-US" w:eastAsia="zh-CN" w:bidi="ar-SA"/>
    </w:rPr>
  </w:style>
  <w:style w:type="character" w:customStyle="1" w:styleId="67">
    <w:name w:val="表文 Char Char"/>
    <w:basedOn w:val="25"/>
    <w:link w:val="50"/>
    <w:locked/>
    <w:uiPriority w:val="99"/>
    <w:rPr>
      <w:rFonts w:ascii="宋体" w:hAnsi="宋体" w:eastAsia="宋体" w:cs="Times New Roman"/>
      <w:color w:val="000000"/>
      <w:spacing w:val="-20"/>
      <w:sz w:val="21"/>
      <w:szCs w:val="21"/>
      <w:lang w:val="en-US" w:eastAsia="zh-CN" w:bidi="ar-SA"/>
    </w:rPr>
  </w:style>
  <w:style w:type="character" w:customStyle="1" w:styleId="68">
    <w:name w:val="单位名称 Char Char"/>
    <w:basedOn w:val="25"/>
    <w:link w:val="53"/>
    <w:qFormat/>
    <w:locked/>
    <w:uiPriority w:val="99"/>
    <w:rPr>
      <w:rFonts w:ascii="宋体" w:hAnsi="宋体" w:cs="宋体"/>
      <w:kern w:val="2"/>
      <w:sz w:val="36"/>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image" Target="media/image5.png"/><Relationship Id="rId20" Type="http://schemas.openxmlformats.org/officeDocument/2006/relationships/image" Target="media/image4.png"/><Relationship Id="rId2" Type="http://schemas.openxmlformats.org/officeDocument/2006/relationships/settings" Target="settings.xml"/><Relationship Id="rId19" Type="http://schemas.openxmlformats.org/officeDocument/2006/relationships/image" Target="media/image3.png"/><Relationship Id="rId18" Type="http://schemas.openxmlformats.org/officeDocument/2006/relationships/image" Target="media/image2.wmf"/><Relationship Id="rId17" Type="http://schemas.openxmlformats.org/officeDocument/2006/relationships/oleObject" Target="embeddings/oleObject2.bin"/><Relationship Id="rId16" Type="http://schemas.openxmlformats.org/officeDocument/2006/relationships/image" Target="media/image1.wmf"/><Relationship Id="rId15" Type="http://schemas.openxmlformats.org/officeDocument/2006/relationships/oleObject" Target="embeddings/oleObject1.bin"/><Relationship Id="rId14" Type="http://schemas.openxmlformats.org/officeDocument/2006/relationships/theme" Target="theme/theme1.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xuhelong\Desktop\&#33457;&#23665;&#30887;&#26690;&#22253;&#38075;&#23380;&#26729;&#26045;&#24037;&#35774;&#3574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2049"/>
    <customShpInfo spid="_x0000_s1027"/>
    <customShpInfo spid="_x0000_s1028"/>
    <customShpInfo spid="_x0000_s1029"/>
    <customShpInfo spid="_x0000_s1031"/>
    <customShpInfo spid="_x0000_s1032"/>
    <customShpInfo spid="_x0000_s1033"/>
    <customShpInfo spid="_x0000_s1034"/>
    <customShpInfo spid="_x0000_s1035"/>
    <customShpInfo spid="_x0000_s1036"/>
    <customShpInfo spid="_x0000_s1037"/>
    <customShpInfo spid="_x0000_s1038"/>
    <customShpInfo spid="_x0000_s1039"/>
    <customShpInfo spid="_x0000_s1040"/>
    <customShpInfo spid="_x0000_s1041"/>
    <customShpInfo spid="_x0000_s1030"/>
    <customShpInfo spid="_x0000_s1042"/>
    <customShpInfo spid="_x0000_s1043"/>
    <customShpInfo spid="_x0000_s1044"/>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花山碧桂园钻孔桩施工设计</Template>
  <Company>中铁大桥局集团四公司</Company>
  <Pages>35</Pages>
  <Words>3386</Words>
  <Characters>19303</Characters>
  <Lines>160</Lines>
  <Paragraphs>45</Paragraphs>
  <ScaleCrop>false</ScaleCrop>
  <LinksUpToDate>false</LinksUpToDate>
  <CharactersWithSpaces>22644</CharactersWithSpaces>
  <Application>WPS Office_10.1.0.6030_F1E327BC-269C-435d-A152-05C5408002CA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2013-03-15T14:36:00Z</dcterms:created>
  <dc:creator>xuhelong</dc:creator>
  <cp:lastModifiedBy>Administrator</cp:lastModifiedBy>
  <cp:lastPrinted>2015-07-13T01:52:00Z</cp:lastPrinted>
  <dcterms:modified xsi:type="dcterms:W3CDTF">2016-11-30T08:12:27Z</dcterms:modified>
  <dc:title>南京大胜关长江大桥</dc:title>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2052-10.1.0.6030</vt:lpwstr>
  </property>
</Properties>
</file>